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01" w:rsidRPr="00FB2A41" w:rsidRDefault="00446F01" w:rsidP="00446F01">
      <w:pPr>
        <w:jc w:val="center"/>
        <w:rPr>
          <w:sz w:val="32"/>
          <w:szCs w:val="20"/>
        </w:rPr>
      </w:pPr>
      <w:r w:rsidRPr="00FB2A41">
        <w:rPr>
          <w:noProof/>
          <w:sz w:val="32"/>
          <w:szCs w:val="20"/>
        </w:rPr>
        <w:drawing>
          <wp:inline distT="0" distB="0" distL="0" distR="0">
            <wp:extent cx="1295400" cy="638175"/>
            <wp:effectExtent l="0" t="0" r="0" b="9525"/>
            <wp:docPr id="1" name="Immagin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38175"/>
                    </a:xfrm>
                    <a:prstGeom prst="rect">
                      <a:avLst/>
                    </a:prstGeom>
                    <a:noFill/>
                    <a:ln>
                      <a:noFill/>
                    </a:ln>
                  </pic:spPr>
                </pic:pic>
              </a:graphicData>
            </a:graphic>
          </wp:inline>
        </w:drawing>
      </w:r>
    </w:p>
    <w:p w:rsidR="00446F01" w:rsidRPr="00FB2A41" w:rsidRDefault="00026A0B" w:rsidP="00446F01">
      <w:pPr>
        <w:pStyle w:val="Sottotitolo"/>
        <w:rPr>
          <w:b/>
          <w:szCs w:val="32"/>
        </w:rPr>
      </w:pPr>
      <w:r w:rsidRPr="00FB2A41">
        <w:rPr>
          <w:b/>
          <w:szCs w:val="32"/>
        </w:rPr>
        <w:t>U.O.S.D.</w:t>
      </w:r>
      <w:r w:rsidR="00446F01" w:rsidRPr="00FB2A41">
        <w:rPr>
          <w:b/>
          <w:szCs w:val="32"/>
        </w:rPr>
        <w:t xml:space="preserve"> GASTROENTEROLOGIA ED ENDOSCOPIA DIGESTIVA</w:t>
      </w:r>
    </w:p>
    <w:p w:rsidR="00446F01" w:rsidRPr="00FB2A41" w:rsidRDefault="00026A0B" w:rsidP="00446F01">
      <w:pPr>
        <w:jc w:val="center"/>
        <w:rPr>
          <w:b/>
        </w:rPr>
      </w:pPr>
      <w:r w:rsidRPr="00FB2A41">
        <w:rPr>
          <w:b/>
        </w:rPr>
        <w:t>Responsabile</w:t>
      </w:r>
      <w:r w:rsidR="00446F01" w:rsidRPr="00FB2A41">
        <w:rPr>
          <w:b/>
        </w:rPr>
        <w:t xml:space="preserve">: </w:t>
      </w:r>
      <w:r w:rsidR="008E4B8B">
        <w:rPr>
          <w:b/>
        </w:rPr>
        <w:t xml:space="preserve">Dott. </w:t>
      </w:r>
      <w:proofErr w:type="spellStart"/>
      <w:r w:rsidR="008E4B8B">
        <w:rPr>
          <w:b/>
        </w:rPr>
        <w:t>Maxemiliano</w:t>
      </w:r>
      <w:proofErr w:type="spellEnd"/>
      <w:r w:rsidR="008E4B8B">
        <w:rPr>
          <w:b/>
        </w:rPr>
        <w:t xml:space="preserve"> Giardini</w:t>
      </w:r>
    </w:p>
    <w:p w:rsidR="00A31FBE" w:rsidRPr="00FB2A41" w:rsidRDefault="00A31FBE" w:rsidP="00D14A6E">
      <w:pPr>
        <w:jc w:val="center"/>
        <w:rPr>
          <w:b/>
          <w:sz w:val="22"/>
          <w:szCs w:val="22"/>
        </w:rPr>
      </w:pPr>
    </w:p>
    <w:p w:rsidR="00446F01" w:rsidRPr="00FB2A41" w:rsidRDefault="00446F01" w:rsidP="00446F01">
      <w:pPr>
        <w:spacing w:before="120" w:after="120"/>
        <w:jc w:val="center"/>
        <w:rPr>
          <w:b/>
          <w:u w:val="single"/>
        </w:rPr>
      </w:pPr>
      <w:r w:rsidRPr="00FB2A41">
        <w:rPr>
          <w:b/>
          <w:u w:val="single"/>
        </w:rPr>
        <w:t>NOTA INFORMATIVA SPECIFICA : GASTROSTOMIA PERCUTANEA ENDOSCOPICA (PEG)</w:t>
      </w:r>
    </w:p>
    <w:p w:rsidR="00A31FBE" w:rsidRPr="00FB2A41" w:rsidRDefault="00A31FBE" w:rsidP="00446F01">
      <w:pPr>
        <w:spacing w:after="120"/>
        <w:jc w:val="center"/>
        <w:rPr>
          <w:b/>
          <w:sz w:val="20"/>
          <w:szCs w:val="20"/>
        </w:rPr>
      </w:pPr>
    </w:p>
    <w:p w:rsidR="00222836" w:rsidRPr="00FB2A41" w:rsidRDefault="00222836" w:rsidP="00FB2A41">
      <w:pPr>
        <w:pStyle w:val="Sottotitolo"/>
        <w:jc w:val="both"/>
        <w:rPr>
          <w:b/>
          <w:sz w:val="20"/>
          <w:szCs w:val="24"/>
        </w:rPr>
      </w:pPr>
      <w:r w:rsidRPr="00FB2A41">
        <w:rPr>
          <w:b/>
          <w:sz w:val="20"/>
          <w:szCs w:val="24"/>
        </w:rPr>
        <w:t>Gentile Paziente, con questa scheda informativa si riportano alla Sua attenzione, in forma scritta, le informazioni più importanti che attengono all’esame che le è stato proposto.</w:t>
      </w:r>
    </w:p>
    <w:p w:rsidR="00222836" w:rsidRPr="00FB2A41" w:rsidRDefault="00222836" w:rsidP="00FB2A41">
      <w:pPr>
        <w:pStyle w:val="Sottotitolo"/>
        <w:jc w:val="both"/>
        <w:rPr>
          <w:b/>
          <w:sz w:val="20"/>
        </w:rPr>
      </w:pPr>
      <w:r w:rsidRPr="00FB2A41">
        <w:rPr>
          <w:b/>
          <w:sz w:val="20"/>
        </w:rPr>
        <w:t>Tali informazioni di carattere generale Le potranno essere d’aiuto per fare una scelta consapevole circa il trattamento sanitario che riterrà più idoneo e rispondente ai Suoi bisogni.</w:t>
      </w:r>
    </w:p>
    <w:p w:rsidR="00222836" w:rsidRPr="00FB2A41" w:rsidRDefault="00222836" w:rsidP="00FB2A41">
      <w:pPr>
        <w:pStyle w:val="Sottotitolo"/>
        <w:jc w:val="both"/>
        <w:rPr>
          <w:b/>
          <w:sz w:val="20"/>
        </w:rPr>
      </w:pPr>
      <w:r w:rsidRPr="00FB2A41">
        <w:rPr>
          <w:b/>
          <w:sz w:val="20"/>
        </w:rPr>
        <w:t>Le ricordiamo che la presente scheda informativa è integrativa e non sostitutiva del colloquio informativo</w:t>
      </w:r>
      <w:r w:rsidR="00BA6DBE" w:rsidRPr="00FB2A41">
        <w:rPr>
          <w:b/>
          <w:sz w:val="20"/>
        </w:rPr>
        <w:t xml:space="preserve"> sull’atto sanitario proposto, </w:t>
      </w:r>
      <w:r w:rsidRPr="00FB2A41">
        <w:rPr>
          <w:b/>
          <w:sz w:val="20"/>
        </w:rPr>
        <w:t>che costituisce il cardine dell’importante rapporto di dialogo che ci deve essere tra il medico e il paziente per un percorso di cura condiviso e consapevole. Le ricordiamo infine che le informazioni di seguito riportate, fatto salvo le necessarie specificità attribuibili al suo caso concreto, sono riconducibili alle raccomandazioni previste dalle linee guida pubblicate nell’Osservatorio Nazionale delle buone pratiche sulla sicurezza nella sanità o, in mancanza delle suddette raccomandazioni, alle buone pratiche clinico-assistenziali.</w:t>
      </w:r>
    </w:p>
    <w:p w:rsidR="00222836" w:rsidRPr="00FB2A41" w:rsidRDefault="00222836" w:rsidP="00FB2A41">
      <w:pPr>
        <w:pStyle w:val="Sottotitolo"/>
        <w:jc w:val="both"/>
        <w:rPr>
          <w:b/>
          <w:sz w:val="20"/>
        </w:rPr>
      </w:pPr>
      <w:r w:rsidRPr="00FB2A41">
        <w:rPr>
          <w:b/>
          <w:sz w:val="20"/>
        </w:rPr>
        <w:t>Troverà in calce a questa scheda informativa i riferimenti bibliografici alle Linee Guida e/o Buone Pratiche Clinico Assistenziali sulla cui base questo atto sanitario Le viene proposto.</w:t>
      </w:r>
    </w:p>
    <w:p w:rsidR="00222836" w:rsidRPr="00FB2A41" w:rsidRDefault="00222836" w:rsidP="00222836">
      <w:pPr>
        <w:pStyle w:val="Sottotitolo"/>
        <w:jc w:val="left"/>
        <w:rPr>
          <w:b/>
          <w:sz w:val="22"/>
          <w:szCs w:val="22"/>
        </w:rPr>
      </w:pPr>
    </w:p>
    <w:p w:rsidR="00446F01" w:rsidRPr="00FB2A41" w:rsidRDefault="00446F01" w:rsidP="00446F01">
      <w:pPr>
        <w:spacing w:before="120"/>
        <w:jc w:val="both"/>
        <w:rPr>
          <w:b/>
          <w:sz w:val="20"/>
          <w:u w:val="single"/>
        </w:rPr>
      </w:pPr>
      <w:r w:rsidRPr="00FB2A41">
        <w:rPr>
          <w:b/>
          <w:sz w:val="20"/>
          <w:u w:val="single"/>
        </w:rPr>
        <w:t>PREMESSA</w:t>
      </w:r>
    </w:p>
    <w:p w:rsidR="0064749E" w:rsidRDefault="00446F01" w:rsidP="0064749E">
      <w:pPr>
        <w:spacing w:before="120"/>
        <w:ind w:firstLine="426"/>
        <w:jc w:val="both"/>
        <w:rPr>
          <w:sz w:val="20"/>
        </w:rPr>
      </w:pPr>
      <w:r w:rsidRPr="00FB2A41">
        <w:rPr>
          <w:sz w:val="20"/>
        </w:rPr>
        <w:t>Alcune malattie (neurologiche, infettive, tumorali) possono determinare un’incapacità temporanea o definitiva ad alimentarsi attraverso la bocca. In queste situazioni è necessario assicurare al paziente una nutrizione che può avvenire o per via venosa, oppure posizionando un sondino che attraverso il naso viene fatto arrivare nello stomaco o nell’intestino. Queste soluzioni non possono essere utilizzate per lunghi periodi.</w:t>
      </w:r>
      <w:r w:rsidR="00B206B7">
        <w:rPr>
          <w:sz w:val="20"/>
        </w:rPr>
        <w:t xml:space="preserve"> </w:t>
      </w:r>
      <w:r w:rsidRPr="00FB2A41">
        <w:rPr>
          <w:sz w:val="20"/>
        </w:rPr>
        <w:t>La Gastrostomia Endoscopia Percutanea (PEG) è una procedura endoscopica reversibile di nutrizione artificiale che consente la somministrazione di alimenti, liquidi e farmaci mediante una sonda che, attraversando la parete addominale, r</w:t>
      </w:r>
      <w:r w:rsidR="00FB2A41">
        <w:rPr>
          <w:sz w:val="20"/>
        </w:rPr>
        <w:t>aggiunge il lume dello stomaco.</w:t>
      </w:r>
    </w:p>
    <w:p w:rsidR="00446F01" w:rsidRPr="00FB2A41" w:rsidRDefault="00446F01" w:rsidP="0064749E">
      <w:pPr>
        <w:ind w:firstLine="426"/>
        <w:jc w:val="both"/>
        <w:rPr>
          <w:sz w:val="20"/>
        </w:rPr>
      </w:pPr>
      <w:r w:rsidRPr="00FB2A41">
        <w:rPr>
          <w:sz w:val="20"/>
        </w:rPr>
        <w:t>L’impianto di PEG rappresenta una via di alimentazione alternativa e non preclude in alcun modo l’assunzione di alimenti per via orale. Per il corretto mantenimento e cura della PEG sarà necessario osservare alcune precauzioni nella assistenza alla alimentazione del paziente e alla manutenzione del dispositivo che saranno illustrate dal personale infermierist</w:t>
      </w:r>
      <w:r w:rsidR="00C05FED">
        <w:rPr>
          <w:sz w:val="20"/>
        </w:rPr>
        <w:t>ico della Area Vasta n°</w:t>
      </w:r>
      <w:r w:rsidR="00A31FBE" w:rsidRPr="00FB2A41">
        <w:rPr>
          <w:sz w:val="20"/>
        </w:rPr>
        <w:t>1</w:t>
      </w:r>
      <w:r w:rsidRPr="00FB2A41">
        <w:rPr>
          <w:sz w:val="20"/>
        </w:rPr>
        <w:t xml:space="preserve"> preposte a tale compito.</w:t>
      </w:r>
    </w:p>
    <w:p w:rsidR="00A31FBE" w:rsidRPr="00FB2A41" w:rsidRDefault="00A31FBE" w:rsidP="0064749E">
      <w:pPr>
        <w:spacing w:before="120"/>
        <w:ind w:firstLine="426"/>
        <w:jc w:val="both"/>
        <w:rPr>
          <w:sz w:val="20"/>
        </w:rPr>
      </w:pPr>
    </w:p>
    <w:p w:rsidR="00A66582" w:rsidRPr="00FB2A41" w:rsidRDefault="00A31FBE" w:rsidP="0064749E">
      <w:pPr>
        <w:pStyle w:val="Titolo2"/>
        <w:spacing w:line="360" w:lineRule="auto"/>
        <w:jc w:val="both"/>
        <w:rPr>
          <w:b/>
        </w:rPr>
      </w:pPr>
      <w:r w:rsidRPr="00FB2A41">
        <w:rPr>
          <w:b/>
        </w:rPr>
        <w:t>INDICAZIONI PRINCIPALI</w:t>
      </w:r>
    </w:p>
    <w:p w:rsidR="00A66582" w:rsidRPr="0064749E" w:rsidRDefault="00A66582" w:rsidP="006B4178">
      <w:pPr>
        <w:pStyle w:val="Paragrafoelenco"/>
        <w:numPr>
          <w:ilvl w:val="0"/>
          <w:numId w:val="10"/>
        </w:numPr>
        <w:ind w:left="426" w:hanging="284"/>
        <w:jc w:val="both"/>
        <w:rPr>
          <w:sz w:val="20"/>
        </w:rPr>
      </w:pPr>
      <w:r w:rsidRPr="0064749E">
        <w:rPr>
          <w:sz w:val="20"/>
        </w:rPr>
        <w:t xml:space="preserve">Patologie neoplastiche: </w:t>
      </w:r>
      <w:r w:rsidR="008D5D09" w:rsidRPr="0064749E">
        <w:rPr>
          <w:sz w:val="20"/>
        </w:rPr>
        <w:t xml:space="preserve">testa-collo, </w:t>
      </w:r>
      <w:r w:rsidR="00A31FBE" w:rsidRPr="0064749E">
        <w:rPr>
          <w:sz w:val="20"/>
        </w:rPr>
        <w:t xml:space="preserve">orofaringe, </w:t>
      </w:r>
      <w:r w:rsidRPr="0064749E">
        <w:rPr>
          <w:sz w:val="20"/>
        </w:rPr>
        <w:t xml:space="preserve">laringe, </w:t>
      </w:r>
      <w:r w:rsidR="00A31FBE" w:rsidRPr="0064749E">
        <w:rPr>
          <w:sz w:val="20"/>
        </w:rPr>
        <w:t xml:space="preserve">esofago </w:t>
      </w:r>
      <w:r w:rsidR="0064749E">
        <w:rPr>
          <w:sz w:val="20"/>
        </w:rPr>
        <w:t>.</w:t>
      </w:r>
    </w:p>
    <w:p w:rsidR="00437F19" w:rsidRPr="0064749E" w:rsidRDefault="00437F19" w:rsidP="006B4178">
      <w:pPr>
        <w:pStyle w:val="Paragrafoelenco"/>
        <w:numPr>
          <w:ilvl w:val="0"/>
          <w:numId w:val="10"/>
        </w:numPr>
        <w:ind w:left="426" w:hanging="284"/>
        <w:jc w:val="both"/>
        <w:rPr>
          <w:sz w:val="20"/>
        </w:rPr>
      </w:pPr>
      <w:r w:rsidRPr="0064749E">
        <w:rPr>
          <w:sz w:val="20"/>
        </w:rPr>
        <w:t>Stenosi benigne esofagee</w:t>
      </w:r>
      <w:r w:rsidR="0064749E">
        <w:rPr>
          <w:sz w:val="20"/>
        </w:rPr>
        <w:t>.</w:t>
      </w:r>
    </w:p>
    <w:p w:rsidR="00A31FBE" w:rsidRPr="0064749E" w:rsidRDefault="00A66582" w:rsidP="006B4178">
      <w:pPr>
        <w:pStyle w:val="Paragrafoelenco"/>
        <w:numPr>
          <w:ilvl w:val="0"/>
          <w:numId w:val="10"/>
        </w:numPr>
        <w:ind w:left="426" w:hanging="284"/>
        <w:jc w:val="both"/>
        <w:rPr>
          <w:sz w:val="20"/>
        </w:rPr>
      </w:pPr>
      <w:r w:rsidRPr="0064749E">
        <w:rPr>
          <w:sz w:val="20"/>
        </w:rPr>
        <w:t xml:space="preserve">Patologie neurologiche: </w:t>
      </w:r>
      <w:r w:rsidR="00A31FBE" w:rsidRPr="0064749E">
        <w:rPr>
          <w:sz w:val="20"/>
        </w:rPr>
        <w:t xml:space="preserve">morbo di Parkinson, sclerosi multipla, sclerosi laterale amiotrofica, </w:t>
      </w:r>
      <w:proofErr w:type="spellStart"/>
      <w:r w:rsidR="00A31FBE" w:rsidRPr="0064749E">
        <w:rPr>
          <w:sz w:val="20"/>
        </w:rPr>
        <w:t>vasculopatie</w:t>
      </w:r>
      <w:proofErr w:type="spellEnd"/>
      <w:r w:rsidR="00EB00BE" w:rsidRPr="0064749E">
        <w:rPr>
          <w:sz w:val="20"/>
        </w:rPr>
        <w:t xml:space="preserve"> cerebrali</w:t>
      </w:r>
      <w:r w:rsidR="00026A0B" w:rsidRPr="0064749E">
        <w:rPr>
          <w:sz w:val="20"/>
        </w:rPr>
        <w:t xml:space="preserve">, </w:t>
      </w:r>
      <w:r w:rsidR="00A3776D" w:rsidRPr="0064749E">
        <w:rPr>
          <w:sz w:val="20"/>
        </w:rPr>
        <w:t xml:space="preserve">malattia di Alzheimer, </w:t>
      </w:r>
      <w:r w:rsidR="00A31FBE" w:rsidRPr="0064749E">
        <w:rPr>
          <w:sz w:val="20"/>
        </w:rPr>
        <w:t>sindrome pseudo-bulbare, nel post-operatorio di interventi neurochirurgici, patologie post-traumatiche.</w:t>
      </w:r>
    </w:p>
    <w:p w:rsidR="00437F19" w:rsidRPr="0064749E" w:rsidRDefault="00437F19" w:rsidP="006B4178">
      <w:pPr>
        <w:pStyle w:val="Paragrafoelenco"/>
        <w:numPr>
          <w:ilvl w:val="0"/>
          <w:numId w:val="10"/>
        </w:numPr>
        <w:ind w:left="426" w:hanging="284"/>
        <w:jc w:val="both"/>
        <w:rPr>
          <w:sz w:val="20"/>
        </w:rPr>
      </w:pPr>
      <w:r w:rsidRPr="0064749E">
        <w:rPr>
          <w:sz w:val="20"/>
        </w:rPr>
        <w:t>Malattie acute e croniche che determinano uno stato catabolico</w:t>
      </w:r>
      <w:r w:rsidR="0064749E">
        <w:rPr>
          <w:sz w:val="20"/>
        </w:rPr>
        <w:t>.</w:t>
      </w:r>
    </w:p>
    <w:p w:rsidR="008D5D09" w:rsidRPr="0064749E" w:rsidRDefault="008D5D09" w:rsidP="006B4178">
      <w:pPr>
        <w:pStyle w:val="Paragrafoelenco"/>
        <w:numPr>
          <w:ilvl w:val="0"/>
          <w:numId w:val="10"/>
        </w:numPr>
        <w:ind w:left="426" w:hanging="284"/>
        <w:jc w:val="both"/>
        <w:rPr>
          <w:sz w:val="20"/>
        </w:rPr>
      </w:pPr>
      <w:r w:rsidRPr="0064749E">
        <w:rPr>
          <w:sz w:val="20"/>
        </w:rPr>
        <w:t>Ridotta nu</w:t>
      </w:r>
      <w:r w:rsidR="00EB00BE" w:rsidRPr="0064749E">
        <w:rPr>
          <w:sz w:val="20"/>
        </w:rPr>
        <w:t>t</w:t>
      </w:r>
      <w:r w:rsidRPr="0064749E">
        <w:rPr>
          <w:sz w:val="20"/>
        </w:rPr>
        <w:t>rizione orale in assenza di patologia organica</w:t>
      </w:r>
      <w:r w:rsidR="00026A0B" w:rsidRPr="0064749E">
        <w:rPr>
          <w:sz w:val="20"/>
        </w:rPr>
        <w:t>:</w:t>
      </w:r>
      <w:r w:rsidRPr="0064749E">
        <w:rPr>
          <w:sz w:val="20"/>
        </w:rPr>
        <w:t xml:space="preserve"> anoressia nervosa</w:t>
      </w:r>
      <w:r w:rsidR="0064749E">
        <w:rPr>
          <w:sz w:val="20"/>
        </w:rPr>
        <w:t>.</w:t>
      </w:r>
    </w:p>
    <w:p w:rsidR="00437F19" w:rsidRPr="0064749E" w:rsidRDefault="00437F19" w:rsidP="006B4178">
      <w:pPr>
        <w:pStyle w:val="Paragrafoelenco"/>
        <w:numPr>
          <w:ilvl w:val="0"/>
          <w:numId w:val="10"/>
        </w:numPr>
        <w:ind w:left="426" w:hanging="284"/>
        <w:jc w:val="both"/>
        <w:rPr>
          <w:sz w:val="20"/>
        </w:rPr>
      </w:pPr>
      <w:r w:rsidRPr="0064749E">
        <w:rPr>
          <w:sz w:val="20"/>
        </w:rPr>
        <w:t xml:space="preserve">Occlusione intestinale </w:t>
      </w:r>
      <w:r w:rsidR="00EB00BE" w:rsidRPr="0064749E">
        <w:rPr>
          <w:sz w:val="20"/>
        </w:rPr>
        <w:t>(</w:t>
      </w:r>
      <w:r w:rsidRPr="0064749E">
        <w:rPr>
          <w:sz w:val="20"/>
        </w:rPr>
        <w:t xml:space="preserve">a scopo </w:t>
      </w:r>
      <w:proofErr w:type="spellStart"/>
      <w:r w:rsidRPr="0064749E">
        <w:rPr>
          <w:sz w:val="20"/>
        </w:rPr>
        <w:t>decompressivo</w:t>
      </w:r>
      <w:proofErr w:type="spellEnd"/>
      <w:r w:rsidR="00EB00BE" w:rsidRPr="0064749E">
        <w:rPr>
          <w:sz w:val="20"/>
        </w:rPr>
        <w:t>)</w:t>
      </w:r>
      <w:r w:rsidR="0064749E">
        <w:rPr>
          <w:sz w:val="20"/>
        </w:rPr>
        <w:t>.</w:t>
      </w:r>
    </w:p>
    <w:p w:rsidR="00A31FBE" w:rsidRPr="00FB2A41" w:rsidRDefault="00A31FBE" w:rsidP="0064749E">
      <w:pPr>
        <w:ind w:left="360" w:firstLine="426"/>
        <w:jc w:val="both"/>
        <w:rPr>
          <w:sz w:val="20"/>
        </w:rPr>
      </w:pPr>
    </w:p>
    <w:p w:rsidR="00A31FBE" w:rsidRPr="00FB2A41" w:rsidRDefault="00A31FBE" w:rsidP="0064749E">
      <w:pPr>
        <w:pStyle w:val="Titolo2"/>
        <w:spacing w:after="120"/>
        <w:jc w:val="both"/>
        <w:rPr>
          <w:b/>
        </w:rPr>
      </w:pPr>
      <w:r w:rsidRPr="00FB2A41">
        <w:rPr>
          <w:b/>
        </w:rPr>
        <w:t xml:space="preserve">CONTROINDICAZIONI </w:t>
      </w:r>
    </w:p>
    <w:p w:rsidR="00A31FBE" w:rsidRPr="00FB2A41" w:rsidRDefault="00A31FBE" w:rsidP="0064749E">
      <w:pPr>
        <w:ind w:firstLine="426"/>
        <w:jc w:val="both"/>
        <w:rPr>
          <w:sz w:val="20"/>
        </w:rPr>
      </w:pPr>
      <w:r w:rsidRPr="00FB2A41">
        <w:rPr>
          <w:b/>
          <w:sz w:val="20"/>
        </w:rPr>
        <w:t>A</w:t>
      </w:r>
      <w:r w:rsidR="00FB2A41">
        <w:rPr>
          <w:b/>
          <w:sz w:val="20"/>
        </w:rPr>
        <w:t>ssolute</w:t>
      </w:r>
      <w:r w:rsidR="00026A0B" w:rsidRPr="00FB2A41">
        <w:rPr>
          <w:sz w:val="20"/>
        </w:rPr>
        <w:t>:</w:t>
      </w:r>
      <w:r w:rsidRPr="00FB2A41">
        <w:rPr>
          <w:sz w:val="20"/>
        </w:rPr>
        <w:t xml:space="preserve"> Parete gastrica non in contatto con la parete addominale (es. </w:t>
      </w:r>
      <w:r w:rsidR="00A66582" w:rsidRPr="00FB2A41">
        <w:rPr>
          <w:sz w:val="20"/>
        </w:rPr>
        <w:t xml:space="preserve">per </w:t>
      </w:r>
      <w:r w:rsidRPr="00FB2A41">
        <w:rPr>
          <w:sz w:val="20"/>
        </w:rPr>
        <w:t>ascite</w:t>
      </w:r>
      <w:r w:rsidR="00CE4022" w:rsidRPr="00FB2A41">
        <w:rPr>
          <w:sz w:val="20"/>
        </w:rPr>
        <w:t xml:space="preserve"> massiva</w:t>
      </w:r>
      <w:r w:rsidRPr="00FB2A41">
        <w:rPr>
          <w:sz w:val="20"/>
        </w:rPr>
        <w:t>, grosse ernie iatali, pregressi interventi chirurgici)</w:t>
      </w:r>
      <w:r w:rsidR="00A66582" w:rsidRPr="00FB2A41">
        <w:rPr>
          <w:sz w:val="20"/>
        </w:rPr>
        <w:t xml:space="preserve">, ostruzioni serrate faringee e/o </w:t>
      </w:r>
      <w:r w:rsidR="004D3848" w:rsidRPr="00FB2A41">
        <w:rPr>
          <w:sz w:val="20"/>
        </w:rPr>
        <w:t xml:space="preserve">esofagee, </w:t>
      </w:r>
      <w:proofErr w:type="spellStart"/>
      <w:r w:rsidR="004D3848" w:rsidRPr="00FB2A41">
        <w:rPr>
          <w:sz w:val="20"/>
        </w:rPr>
        <w:t>coagulopatia</w:t>
      </w:r>
      <w:proofErr w:type="spellEnd"/>
      <w:r w:rsidR="004D3848" w:rsidRPr="00FB2A41">
        <w:rPr>
          <w:sz w:val="20"/>
        </w:rPr>
        <w:t xml:space="preserve"> non correggibile</w:t>
      </w:r>
      <w:r w:rsidR="00A66582" w:rsidRPr="00FB2A41">
        <w:rPr>
          <w:sz w:val="20"/>
        </w:rPr>
        <w:t xml:space="preserve">, </w:t>
      </w:r>
      <w:r w:rsidR="004D3848" w:rsidRPr="00FB2A41">
        <w:rPr>
          <w:sz w:val="20"/>
        </w:rPr>
        <w:t xml:space="preserve">peritonite in atto, </w:t>
      </w:r>
      <w:r w:rsidR="00A66582" w:rsidRPr="00FB2A41">
        <w:rPr>
          <w:sz w:val="20"/>
        </w:rPr>
        <w:t>occlusi</w:t>
      </w:r>
      <w:r w:rsidR="00CE4022" w:rsidRPr="00FB2A41">
        <w:rPr>
          <w:sz w:val="20"/>
        </w:rPr>
        <w:t xml:space="preserve">one </w:t>
      </w:r>
      <w:r w:rsidR="00A66582" w:rsidRPr="00FB2A41">
        <w:rPr>
          <w:sz w:val="20"/>
        </w:rPr>
        <w:t>intestinale</w:t>
      </w:r>
      <w:r w:rsidR="00CE4022" w:rsidRPr="00FB2A41">
        <w:rPr>
          <w:sz w:val="20"/>
        </w:rPr>
        <w:t xml:space="preserve"> </w:t>
      </w:r>
      <w:r w:rsidR="00026A0B" w:rsidRPr="00FB2A41">
        <w:rPr>
          <w:sz w:val="20"/>
        </w:rPr>
        <w:t>(</w:t>
      </w:r>
      <w:r w:rsidR="00CE4022" w:rsidRPr="00FB2A41">
        <w:rPr>
          <w:sz w:val="20"/>
        </w:rPr>
        <w:t xml:space="preserve">fatto salvo il posizionamento a scopo </w:t>
      </w:r>
      <w:proofErr w:type="spellStart"/>
      <w:r w:rsidR="00CE4022" w:rsidRPr="00FB2A41">
        <w:rPr>
          <w:sz w:val="20"/>
        </w:rPr>
        <w:t>decompressivo</w:t>
      </w:r>
      <w:proofErr w:type="spellEnd"/>
      <w:r w:rsidR="00CE4022" w:rsidRPr="00FB2A41">
        <w:rPr>
          <w:sz w:val="20"/>
        </w:rPr>
        <w:t>)</w:t>
      </w:r>
    </w:p>
    <w:p w:rsidR="00A31FBE" w:rsidRPr="00FB2A41" w:rsidRDefault="00A31FBE" w:rsidP="0064749E">
      <w:pPr>
        <w:ind w:firstLine="426"/>
        <w:jc w:val="both"/>
        <w:rPr>
          <w:sz w:val="20"/>
        </w:rPr>
      </w:pPr>
      <w:r w:rsidRPr="00FB2A41">
        <w:rPr>
          <w:b/>
          <w:sz w:val="20"/>
        </w:rPr>
        <w:t>R</w:t>
      </w:r>
      <w:r w:rsidR="00FB2A41">
        <w:rPr>
          <w:b/>
          <w:sz w:val="20"/>
        </w:rPr>
        <w:t>elative</w:t>
      </w:r>
      <w:r w:rsidR="00CE4022" w:rsidRPr="00FB2A41">
        <w:rPr>
          <w:sz w:val="20"/>
        </w:rPr>
        <w:t xml:space="preserve">: </w:t>
      </w:r>
      <w:r w:rsidR="004D3848" w:rsidRPr="00FB2A41">
        <w:rPr>
          <w:sz w:val="20"/>
        </w:rPr>
        <w:t xml:space="preserve">recente emorragia digestiva da ulcera peptica con alto rischio di </w:t>
      </w:r>
      <w:proofErr w:type="spellStart"/>
      <w:r w:rsidR="004D3848" w:rsidRPr="00FB2A41">
        <w:rPr>
          <w:sz w:val="20"/>
        </w:rPr>
        <w:t>risanguinamento</w:t>
      </w:r>
      <w:proofErr w:type="spellEnd"/>
      <w:r w:rsidR="004D3848" w:rsidRPr="00FB2A41">
        <w:rPr>
          <w:sz w:val="20"/>
        </w:rPr>
        <w:t xml:space="preserve">, instabilità emodinamica e/o respiratoria, </w:t>
      </w:r>
      <w:r w:rsidR="00CE4022" w:rsidRPr="00FB2A41">
        <w:rPr>
          <w:sz w:val="20"/>
        </w:rPr>
        <w:t>ascite</w:t>
      </w:r>
      <w:r w:rsidR="00A66582" w:rsidRPr="00FB2A41">
        <w:rPr>
          <w:sz w:val="20"/>
        </w:rPr>
        <w:t xml:space="preserve">, </w:t>
      </w:r>
      <w:proofErr w:type="spellStart"/>
      <w:r w:rsidR="004D3848" w:rsidRPr="00FB2A41">
        <w:rPr>
          <w:sz w:val="20"/>
        </w:rPr>
        <w:t>shunts</w:t>
      </w:r>
      <w:proofErr w:type="spellEnd"/>
      <w:r w:rsidR="004D3848" w:rsidRPr="00FB2A41">
        <w:rPr>
          <w:sz w:val="20"/>
        </w:rPr>
        <w:t xml:space="preserve"> ventricolo-peritoneali, </w:t>
      </w:r>
      <w:r w:rsidR="00A66582" w:rsidRPr="00FB2A41">
        <w:rPr>
          <w:sz w:val="20"/>
        </w:rPr>
        <w:t>patologie neoplastiche, infiammatorie ed infiltrative della parete gastrica e addominale, ipertensione portale con varici esofagee</w:t>
      </w:r>
    </w:p>
    <w:p w:rsidR="00446F01" w:rsidRPr="00FB2A41" w:rsidRDefault="00446F01" w:rsidP="0064749E">
      <w:pPr>
        <w:ind w:firstLine="426"/>
        <w:jc w:val="both"/>
        <w:rPr>
          <w:sz w:val="20"/>
        </w:rPr>
      </w:pPr>
    </w:p>
    <w:p w:rsidR="000B31B7" w:rsidRPr="00FB2A41" w:rsidRDefault="000B31B7" w:rsidP="0064749E">
      <w:pPr>
        <w:ind w:firstLine="426"/>
        <w:jc w:val="both"/>
        <w:rPr>
          <w:sz w:val="20"/>
        </w:rPr>
      </w:pPr>
    </w:p>
    <w:p w:rsidR="00446F01" w:rsidRPr="00FB2A41" w:rsidRDefault="00446F01" w:rsidP="0064749E">
      <w:pPr>
        <w:pStyle w:val="Titolo2"/>
        <w:spacing w:line="360" w:lineRule="auto"/>
        <w:jc w:val="both"/>
        <w:rPr>
          <w:b/>
        </w:rPr>
      </w:pPr>
      <w:r w:rsidRPr="00FB2A41">
        <w:rPr>
          <w:b/>
        </w:rPr>
        <w:t>PREPARAZIONE</w:t>
      </w:r>
    </w:p>
    <w:p w:rsidR="00FB2A41" w:rsidRDefault="00446F01" w:rsidP="0064749E">
      <w:pPr>
        <w:ind w:firstLine="426"/>
        <w:jc w:val="both"/>
        <w:rPr>
          <w:sz w:val="20"/>
        </w:rPr>
      </w:pPr>
      <w:r w:rsidRPr="00FB2A41">
        <w:rPr>
          <w:sz w:val="20"/>
        </w:rPr>
        <w:t>Prima di posizionare la PEG è necessario eseguire una gastroscopia completa, quindi lo stomaco deve essere vuoto. A tal fine è necessario che il paziente sia a digiuno ai solidi da almeno 6 ore e ai liquidi chiari da</w:t>
      </w:r>
      <w:r w:rsidR="00C05FED">
        <w:rPr>
          <w:sz w:val="20"/>
        </w:rPr>
        <w:t xml:space="preserve"> </w:t>
      </w:r>
      <w:r w:rsidRPr="00FB2A41">
        <w:rPr>
          <w:sz w:val="20"/>
        </w:rPr>
        <w:t>almeno 2 ore precedenti l’esame. Potrà assumere la terapia abituale sino a 2 ore prima dell’esame, con poca quantità di acqua.</w:t>
      </w:r>
    </w:p>
    <w:p w:rsidR="00293DC1" w:rsidRPr="00FB2A41" w:rsidRDefault="00A31FBE" w:rsidP="0064749E">
      <w:pPr>
        <w:ind w:firstLine="426"/>
        <w:jc w:val="both"/>
        <w:rPr>
          <w:sz w:val="20"/>
        </w:rPr>
      </w:pPr>
      <w:r w:rsidRPr="00FB2A41">
        <w:rPr>
          <w:sz w:val="20"/>
        </w:rPr>
        <w:t>Nel caso in cui il paziente assuma farmaci anticoagulanti e/o antiaggreganti, in previsione dell’esame, potrebbe rendersi necessaria la loro sospensione</w:t>
      </w:r>
      <w:r w:rsidR="00C551DE" w:rsidRPr="00FB2A41">
        <w:rPr>
          <w:sz w:val="20"/>
        </w:rPr>
        <w:t xml:space="preserve"> secondo modalità concordate con il medico curante. Sulla scorta dell’anamnesi del paziente, degli esami clinico-strumentali eseguiti in precedenza e dell’esistenza di possibili fattori di rischio, sarà considerata l’opportunità di eseguire test ematici per la valutazione dell’assetto coagulativo.</w:t>
      </w:r>
      <w:r w:rsidR="00446F01" w:rsidRPr="00FB2A41">
        <w:rPr>
          <w:sz w:val="20"/>
        </w:rPr>
        <w:t xml:space="preserve"> Dovrà essere prodotta tutta la documentazione clinica relativa al paziente, in particolare la terapia in atto</w:t>
      </w:r>
      <w:r w:rsidR="00026A0B" w:rsidRPr="00FB2A41">
        <w:rPr>
          <w:sz w:val="20"/>
        </w:rPr>
        <w:t xml:space="preserve">, </w:t>
      </w:r>
      <w:r w:rsidR="00446F01" w:rsidRPr="00FB2A41">
        <w:rPr>
          <w:sz w:val="20"/>
        </w:rPr>
        <w:t xml:space="preserve">eventuali allergie sia a farmaci che ad altre sostanze, cartelle cliniche di interventi di </w:t>
      </w:r>
      <w:r w:rsidR="00446F01" w:rsidRPr="00FB2A41">
        <w:rPr>
          <w:sz w:val="20"/>
        </w:rPr>
        <w:lastRenderedPageBreak/>
        <w:t xml:space="preserve">chirurgia addominale, referti di precedenti indagini endoscopiche, radiologiche e di laboratorio. </w:t>
      </w:r>
      <w:r w:rsidR="008D674E" w:rsidRPr="00FB2A41">
        <w:rPr>
          <w:sz w:val="20"/>
        </w:rPr>
        <w:t>Nel corso della</w:t>
      </w:r>
      <w:r w:rsidR="00446F01" w:rsidRPr="00FB2A41">
        <w:rPr>
          <w:sz w:val="20"/>
        </w:rPr>
        <w:t xml:space="preserve"> procedura viene praticata direttamente nel nostro Servizio la profilassi antibiotica</w:t>
      </w:r>
      <w:r w:rsidR="008D674E" w:rsidRPr="00FB2A41">
        <w:rPr>
          <w:sz w:val="20"/>
        </w:rPr>
        <w:t xml:space="preserve"> raccomandata</w:t>
      </w:r>
      <w:r w:rsidR="00446F01" w:rsidRPr="00FB2A41">
        <w:rPr>
          <w:sz w:val="20"/>
        </w:rPr>
        <w:t xml:space="preserve">. </w:t>
      </w:r>
    </w:p>
    <w:p w:rsidR="008E4B8B" w:rsidRDefault="00446F01" w:rsidP="0064749E">
      <w:pPr>
        <w:ind w:firstLine="426"/>
        <w:jc w:val="both"/>
        <w:rPr>
          <w:b/>
          <w:sz w:val="20"/>
          <w:u w:val="single"/>
        </w:rPr>
      </w:pPr>
      <w:r w:rsidRPr="00FB2A41">
        <w:rPr>
          <w:b/>
          <w:sz w:val="20"/>
          <w:u w:val="single"/>
        </w:rPr>
        <w:t xml:space="preserve"> La PEG viene spesso posizionata in pazienti inabili ad esprimere un consenso informato alla procedura. </w:t>
      </w:r>
    </w:p>
    <w:p w:rsidR="00446F01" w:rsidRPr="00FB2A41" w:rsidRDefault="00446F01" w:rsidP="0064749E">
      <w:pPr>
        <w:ind w:firstLine="426"/>
        <w:jc w:val="both"/>
        <w:rPr>
          <w:b/>
          <w:sz w:val="20"/>
          <w:u w:val="single"/>
        </w:rPr>
      </w:pPr>
      <w:r w:rsidRPr="00FB2A41">
        <w:rPr>
          <w:b/>
          <w:sz w:val="20"/>
          <w:u w:val="single"/>
        </w:rPr>
        <w:t xml:space="preserve">In questi casi il consenso </w:t>
      </w:r>
      <w:r w:rsidR="008E4B8B">
        <w:rPr>
          <w:b/>
          <w:sz w:val="20"/>
          <w:u w:val="single"/>
        </w:rPr>
        <w:t xml:space="preserve">può essere rilasciato ESCLUSIVAMENTE </w:t>
      </w:r>
      <w:r w:rsidRPr="00FB2A41">
        <w:rPr>
          <w:b/>
          <w:sz w:val="20"/>
          <w:u w:val="single"/>
        </w:rPr>
        <w:t xml:space="preserve">dal </w:t>
      </w:r>
      <w:r w:rsidR="009A4258" w:rsidRPr="00FB2A41">
        <w:rPr>
          <w:b/>
          <w:sz w:val="20"/>
          <w:u w:val="single"/>
        </w:rPr>
        <w:t>legale rappresentante del paziente</w:t>
      </w:r>
      <w:r w:rsidRPr="00FB2A41">
        <w:rPr>
          <w:b/>
          <w:sz w:val="20"/>
          <w:u w:val="single"/>
        </w:rPr>
        <w:t>.</w:t>
      </w:r>
    </w:p>
    <w:p w:rsidR="00293DC1" w:rsidRPr="00FB2A41" w:rsidRDefault="00293DC1" w:rsidP="0064749E">
      <w:pPr>
        <w:ind w:firstLine="426"/>
        <w:jc w:val="both"/>
        <w:rPr>
          <w:sz w:val="20"/>
        </w:rPr>
      </w:pPr>
      <w:r w:rsidRPr="00FB2A41">
        <w:rPr>
          <w:sz w:val="20"/>
        </w:rPr>
        <w:t>Per pazienti provenienti dal proprio domicilio, c</w:t>
      </w:r>
      <w:r w:rsidR="00C551DE" w:rsidRPr="00FB2A41">
        <w:rPr>
          <w:sz w:val="20"/>
        </w:rPr>
        <w:t xml:space="preserve">osì come per degenti presso RSA, case di cura </w:t>
      </w:r>
      <w:r w:rsidRPr="00FB2A41">
        <w:rPr>
          <w:sz w:val="20"/>
        </w:rPr>
        <w:t>o istituti di riabilitazion</w:t>
      </w:r>
      <w:r w:rsidR="008B2CA7" w:rsidRPr="00FB2A41">
        <w:rPr>
          <w:sz w:val="20"/>
        </w:rPr>
        <w:t xml:space="preserve">e, il paziente può rientrare </w:t>
      </w:r>
      <w:r w:rsidRPr="00FB2A41">
        <w:rPr>
          <w:sz w:val="20"/>
        </w:rPr>
        <w:t>dopo il posizio</w:t>
      </w:r>
      <w:r w:rsidR="008B2CA7" w:rsidRPr="00FB2A41">
        <w:rPr>
          <w:sz w:val="20"/>
        </w:rPr>
        <w:t>namento del dispositivo, trascorso</w:t>
      </w:r>
      <w:r w:rsidRPr="00FB2A41">
        <w:rPr>
          <w:sz w:val="20"/>
        </w:rPr>
        <w:t xml:space="preserve"> il tempo necessario per escludere complicanze valutabili nel breve periodo.</w:t>
      </w:r>
    </w:p>
    <w:p w:rsidR="00DE72C2" w:rsidRPr="00FB2A41" w:rsidRDefault="00DE72C2" w:rsidP="0064749E">
      <w:pPr>
        <w:pStyle w:val="Titolo2"/>
        <w:ind w:firstLine="426"/>
        <w:jc w:val="both"/>
        <w:rPr>
          <w:b/>
        </w:rPr>
      </w:pPr>
    </w:p>
    <w:p w:rsidR="00D770D6" w:rsidRPr="00FB2A41" w:rsidRDefault="00D770D6" w:rsidP="0064749E">
      <w:pPr>
        <w:pStyle w:val="Titolo2"/>
        <w:jc w:val="both"/>
        <w:rPr>
          <w:b/>
        </w:rPr>
      </w:pPr>
      <w:r w:rsidRPr="00FB2A41">
        <w:rPr>
          <w:b/>
        </w:rPr>
        <w:t>M</w:t>
      </w:r>
      <w:r w:rsidR="00C551DE" w:rsidRPr="00FB2A41">
        <w:rPr>
          <w:b/>
        </w:rPr>
        <w:t>ODALIT</w:t>
      </w:r>
      <w:r w:rsidR="00FB2A41">
        <w:rPr>
          <w:b/>
        </w:rPr>
        <w:t>À</w:t>
      </w:r>
      <w:r w:rsidR="00C551DE" w:rsidRPr="00FB2A41">
        <w:rPr>
          <w:b/>
        </w:rPr>
        <w:t xml:space="preserve"> DI ESECUZIONE</w:t>
      </w:r>
    </w:p>
    <w:p w:rsidR="00FB2A41" w:rsidRDefault="00C551DE" w:rsidP="0064749E">
      <w:pPr>
        <w:pStyle w:val="Corpotesto"/>
        <w:spacing w:before="120"/>
        <w:ind w:firstLine="426"/>
        <w:jc w:val="both"/>
      </w:pPr>
      <w:r w:rsidRPr="00FB2A41">
        <w:t xml:space="preserve">Si posiziona un accesso venoso periferico e si monitorizzano la frequenza cardiaca, la saturazione di ossigeno del sangue e la pressione arteriosa. L’esame viene eseguito in posizione supina. </w:t>
      </w:r>
    </w:p>
    <w:p w:rsidR="00D770D6" w:rsidRPr="00FB2A41" w:rsidRDefault="00D770D6" w:rsidP="0064749E">
      <w:pPr>
        <w:pStyle w:val="Corpotesto"/>
        <w:ind w:firstLine="426"/>
        <w:jc w:val="both"/>
      </w:pPr>
      <w:r w:rsidRPr="00FB2A41">
        <w:t xml:space="preserve">Dopo aver raggiunto lo stomaco con l’endoscopio, come in una normale gastroscopia, </w:t>
      </w:r>
      <w:r w:rsidR="008E4B8B">
        <w:t xml:space="preserve">la cavità gastrica viene individuata dall’esterno </w:t>
      </w:r>
      <w:r w:rsidRPr="00FB2A41">
        <w:t>attraverso la luce riflessa dell’endoscopio sulla parete addominale</w:t>
      </w:r>
      <w:r w:rsidR="008E4B8B">
        <w:t xml:space="preserve"> (transilluminazione); su tale punto dell’addome verrà inserito </w:t>
      </w:r>
      <w:r w:rsidRPr="00FB2A41">
        <w:t>un ago-cannula (previa anestesia locale) che penetr</w:t>
      </w:r>
      <w:r w:rsidR="008E4B8B">
        <w:t xml:space="preserve">erà </w:t>
      </w:r>
      <w:r w:rsidRPr="00FB2A41">
        <w:t>nello stomaco</w:t>
      </w:r>
      <w:r w:rsidR="008E4B8B">
        <w:t xml:space="preserve"> e </w:t>
      </w:r>
      <w:r w:rsidR="006F24DC">
        <w:t xml:space="preserve">consentirà di posizionare un filo </w:t>
      </w:r>
      <w:r w:rsidR="008E4B8B">
        <w:t>all’interno</w:t>
      </w:r>
      <w:r w:rsidR="006F24DC">
        <w:t xml:space="preserve"> della cavità gastrica stessa. Attraverso tale filo verrà quindi fatta scorrere la PEG che accollerà la parate gastrica a quella addominale.</w:t>
      </w:r>
      <w:r w:rsidRPr="00FB2A41">
        <w:t xml:space="preserve"> Una nuova endoscopia consentirà di </w:t>
      </w:r>
      <w:r w:rsidR="00144C89" w:rsidRPr="00FB2A41">
        <w:t>verificare il corretto posizionamento del dispositivo ed eventuali</w:t>
      </w:r>
      <w:r w:rsidRPr="00FB2A41">
        <w:t xml:space="preserve"> complicanze.</w:t>
      </w:r>
      <w:r w:rsidR="00026A0B" w:rsidRPr="00FB2A41">
        <w:t xml:space="preserve"> La</w:t>
      </w:r>
      <w:r w:rsidRPr="00FB2A41">
        <w:t xml:space="preserve"> percentuale di successo nel posizionamen</w:t>
      </w:r>
      <w:r w:rsidR="006F24DC">
        <w:t>to della PEG è superiore al 90% e</w:t>
      </w:r>
      <w:r w:rsidRPr="00FB2A41">
        <w:t xml:space="preserve"> la nutrizione enterale </w:t>
      </w:r>
      <w:r w:rsidR="006F24DC">
        <w:t xml:space="preserve">può essere intrapresa dopo circa </w:t>
      </w:r>
      <w:r w:rsidRPr="00FB2A41">
        <w:t>12 ore</w:t>
      </w:r>
      <w:r w:rsidR="00026A0B" w:rsidRPr="00FB2A41">
        <w:t>.</w:t>
      </w:r>
      <w:r w:rsidRPr="00FB2A41">
        <w:t xml:space="preserve"> Nel frattempo </w:t>
      </w:r>
      <w:smartTag w:uri="urn:schemas-microsoft-com:office:smarttags" w:element="PersonName">
        <w:smartTagPr>
          <w:attr w:name="ProductID" w:val="La PEG"/>
        </w:smartTagPr>
        <w:r w:rsidRPr="00FB2A41">
          <w:t>la PEG</w:t>
        </w:r>
      </w:smartTag>
      <w:r w:rsidRPr="00FB2A41">
        <w:t xml:space="preserve"> deve essere lasciata aperta con drenaggio a caduta. Ulteriori istruzioni verranno consegnate congiuntamente al referto endoscopico.</w:t>
      </w:r>
    </w:p>
    <w:p w:rsidR="00446F01" w:rsidRPr="00FB2A41" w:rsidRDefault="00446F01" w:rsidP="0064749E">
      <w:pPr>
        <w:ind w:firstLine="426"/>
        <w:jc w:val="both"/>
        <w:rPr>
          <w:sz w:val="20"/>
        </w:rPr>
      </w:pPr>
    </w:p>
    <w:p w:rsidR="00446F01" w:rsidRPr="00FB2A41" w:rsidRDefault="00446F01" w:rsidP="0064749E">
      <w:pPr>
        <w:spacing w:after="120"/>
        <w:jc w:val="both"/>
        <w:rPr>
          <w:b/>
          <w:sz w:val="20"/>
          <w:u w:val="single"/>
        </w:rPr>
      </w:pPr>
      <w:r w:rsidRPr="00FB2A41">
        <w:rPr>
          <w:b/>
          <w:sz w:val="20"/>
          <w:u w:val="single"/>
        </w:rPr>
        <w:t xml:space="preserve">COMPLICANZE </w:t>
      </w:r>
    </w:p>
    <w:p w:rsidR="00DE72C2" w:rsidRPr="00FB2A41" w:rsidRDefault="00DE72C2" w:rsidP="0064749E">
      <w:pPr>
        <w:spacing w:after="120"/>
        <w:ind w:firstLine="426"/>
        <w:jc w:val="both"/>
        <w:rPr>
          <w:sz w:val="20"/>
          <w:szCs w:val="20"/>
        </w:rPr>
      </w:pPr>
      <w:r w:rsidRPr="00FB2A41">
        <w:rPr>
          <w:sz w:val="20"/>
          <w:szCs w:val="20"/>
        </w:rPr>
        <w:t>La frequenza globale di complicanze nei pazienti sottoposti a posizionamento di PEG può arrivare sino al 17 %. Le complicanze severe (1.5%- 6%) sono la polmonite ab-</w:t>
      </w:r>
      <w:proofErr w:type="spellStart"/>
      <w:r w:rsidRPr="00FB2A41">
        <w:rPr>
          <w:sz w:val="20"/>
          <w:szCs w:val="20"/>
        </w:rPr>
        <w:t>ingestis</w:t>
      </w:r>
      <w:proofErr w:type="spellEnd"/>
      <w:r w:rsidRPr="00FB2A41">
        <w:rPr>
          <w:sz w:val="20"/>
          <w:szCs w:val="20"/>
        </w:rPr>
        <w:t xml:space="preserve"> (aspirazione di materiale gastroenterico refluito), l’emorragia, il danno ad organi interni, la perforazione, </w:t>
      </w:r>
      <w:r w:rsidR="00EB00BE" w:rsidRPr="00FB2A41">
        <w:rPr>
          <w:sz w:val="20"/>
          <w:szCs w:val="20"/>
        </w:rPr>
        <w:t xml:space="preserve">la fistola </w:t>
      </w:r>
      <w:proofErr w:type="spellStart"/>
      <w:r w:rsidR="00EB00BE" w:rsidRPr="00FB2A41">
        <w:rPr>
          <w:sz w:val="20"/>
          <w:szCs w:val="20"/>
        </w:rPr>
        <w:t>gastrocolocutanea</w:t>
      </w:r>
      <w:proofErr w:type="spellEnd"/>
      <w:r w:rsidR="00EB00BE" w:rsidRPr="00FB2A41">
        <w:rPr>
          <w:sz w:val="20"/>
          <w:szCs w:val="20"/>
        </w:rPr>
        <w:t xml:space="preserve">, </w:t>
      </w:r>
      <w:r w:rsidRPr="00FB2A41">
        <w:rPr>
          <w:sz w:val="20"/>
          <w:szCs w:val="20"/>
        </w:rPr>
        <w:t xml:space="preserve">l’incarceramento del sistema di ancoraggio del dispositivo, la ritardata ripresa della normale motilità intestinale, il dolore nella sede della ferita, la </w:t>
      </w:r>
      <w:proofErr w:type="spellStart"/>
      <w:r w:rsidRPr="00FB2A41">
        <w:rPr>
          <w:sz w:val="20"/>
          <w:szCs w:val="20"/>
        </w:rPr>
        <w:t>fascite</w:t>
      </w:r>
      <w:proofErr w:type="spellEnd"/>
      <w:r w:rsidRPr="00FB2A41">
        <w:rPr>
          <w:sz w:val="20"/>
          <w:szCs w:val="20"/>
        </w:rPr>
        <w:t xml:space="preserve"> necrotizzante. Complicanze minori (fino al 30% circa) che si possono verificare a distanza di tempo dal posizio</w:t>
      </w:r>
      <w:r w:rsidR="008B2CA7" w:rsidRPr="00FB2A41">
        <w:rPr>
          <w:sz w:val="20"/>
          <w:szCs w:val="20"/>
        </w:rPr>
        <w:t xml:space="preserve">namento del dispositivo, sono: </w:t>
      </w:r>
      <w:r w:rsidRPr="00FB2A41">
        <w:rPr>
          <w:sz w:val="20"/>
          <w:szCs w:val="20"/>
        </w:rPr>
        <w:t xml:space="preserve">l’ostruzione del catetere, la macerazione di tessuti circostanti la PEG, il vomito e l’infezione peristomale. La mortalità correlata </w:t>
      </w:r>
      <w:r w:rsidR="000B31B7" w:rsidRPr="00FB2A41">
        <w:rPr>
          <w:sz w:val="20"/>
          <w:szCs w:val="20"/>
        </w:rPr>
        <w:t xml:space="preserve">alla procedura è </w:t>
      </w:r>
      <w:r w:rsidR="006F24DC">
        <w:rPr>
          <w:sz w:val="20"/>
          <w:szCs w:val="20"/>
        </w:rPr>
        <w:t>attestata intorno allo 0.5%</w:t>
      </w:r>
      <w:r w:rsidR="000B31B7" w:rsidRPr="00FB2A41">
        <w:rPr>
          <w:sz w:val="20"/>
          <w:szCs w:val="20"/>
        </w:rPr>
        <w:t>. Il tempo necessario affinché si formi un sicuro e stabile tragitto tra cavi</w:t>
      </w:r>
      <w:r w:rsidR="00EB00BE" w:rsidRPr="00FB2A41">
        <w:rPr>
          <w:sz w:val="20"/>
          <w:szCs w:val="20"/>
        </w:rPr>
        <w:t>tà gastrica e cute è di 2-</w:t>
      </w:r>
      <w:r w:rsidR="000B31B7" w:rsidRPr="00FB2A41">
        <w:rPr>
          <w:sz w:val="20"/>
          <w:szCs w:val="20"/>
        </w:rPr>
        <w:t xml:space="preserve">4 settimane dall’esecuzione della PEG. </w:t>
      </w:r>
      <w:r w:rsidR="00970E29" w:rsidRPr="00FB2A41">
        <w:rPr>
          <w:sz w:val="20"/>
          <w:szCs w:val="20"/>
        </w:rPr>
        <w:t>Nel</w:t>
      </w:r>
      <w:r w:rsidR="000B31B7" w:rsidRPr="00FB2A41">
        <w:rPr>
          <w:sz w:val="20"/>
          <w:szCs w:val="20"/>
        </w:rPr>
        <w:t xml:space="preserve"> caso di</w:t>
      </w:r>
      <w:r w:rsidRPr="00FB2A41">
        <w:rPr>
          <w:sz w:val="20"/>
          <w:szCs w:val="20"/>
        </w:rPr>
        <w:t xml:space="preserve"> rimozione accidentale della gastrostomia (1.6-4.4%) </w:t>
      </w:r>
      <w:r w:rsidR="00970E29" w:rsidRPr="00FB2A41">
        <w:rPr>
          <w:sz w:val="20"/>
          <w:szCs w:val="20"/>
        </w:rPr>
        <w:t>ricoprire la piccola ferita con una garza sterile e avvertire il personale sanitario il prima possibile</w:t>
      </w:r>
      <w:r w:rsidR="00026A0B" w:rsidRPr="00FB2A41">
        <w:rPr>
          <w:sz w:val="20"/>
          <w:szCs w:val="20"/>
        </w:rPr>
        <w:t>.</w:t>
      </w:r>
    </w:p>
    <w:p w:rsidR="00446F01" w:rsidRPr="00FB2A41" w:rsidRDefault="00446F01" w:rsidP="0064749E">
      <w:pPr>
        <w:pStyle w:val="Sottotitolo"/>
        <w:ind w:left="1080" w:firstLine="426"/>
        <w:jc w:val="both"/>
        <w:rPr>
          <w:sz w:val="20"/>
        </w:rPr>
      </w:pPr>
    </w:p>
    <w:p w:rsidR="00446F01" w:rsidRPr="00FB2A41" w:rsidRDefault="00446F01" w:rsidP="0064749E">
      <w:pPr>
        <w:pStyle w:val="Sottotitolo"/>
        <w:spacing w:line="360" w:lineRule="auto"/>
        <w:jc w:val="both"/>
        <w:rPr>
          <w:b/>
          <w:sz w:val="20"/>
          <w:u w:val="single"/>
        </w:rPr>
      </w:pPr>
      <w:r w:rsidRPr="00FB2A41">
        <w:rPr>
          <w:b/>
          <w:sz w:val="20"/>
          <w:u w:val="single"/>
        </w:rPr>
        <w:t>ALTERNATIVE</w:t>
      </w:r>
    </w:p>
    <w:p w:rsidR="00446F01" w:rsidRPr="00FB2A41" w:rsidRDefault="00446F01" w:rsidP="00B206B7">
      <w:pPr>
        <w:pStyle w:val="Sottotitolo"/>
        <w:numPr>
          <w:ilvl w:val="0"/>
          <w:numId w:val="3"/>
        </w:numPr>
        <w:tabs>
          <w:tab w:val="clear" w:pos="720"/>
          <w:tab w:val="num" w:pos="0"/>
        </w:tabs>
        <w:ind w:left="0" w:firstLine="426"/>
        <w:jc w:val="both"/>
        <w:rPr>
          <w:sz w:val="20"/>
        </w:rPr>
      </w:pPr>
      <w:r w:rsidRPr="00FB2A41">
        <w:rPr>
          <w:sz w:val="20"/>
        </w:rPr>
        <w:t xml:space="preserve">Sondino naso-gastrico che può provocare lesioni </w:t>
      </w:r>
      <w:proofErr w:type="spellStart"/>
      <w:r w:rsidRPr="00FB2A41">
        <w:rPr>
          <w:sz w:val="20"/>
        </w:rPr>
        <w:t>faringo</w:t>
      </w:r>
      <w:proofErr w:type="spellEnd"/>
      <w:r w:rsidRPr="00FB2A41">
        <w:rPr>
          <w:sz w:val="20"/>
        </w:rPr>
        <w:t xml:space="preserve">-esofagee, si </w:t>
      </w:r>
      <w:proofErr w:type="spellStart"/>
      <w:r w:rsidRPr="00FB2A41">
        <w:rPr>
          <w:sz w:val="20"/>
        </w:rPr>
        <w:t>sposiziona</w:t>
      </w:r>
      <w:proofErr w:type="spellEnd"/>
      <w:r w:rsidRPr="00FB2A41">
        <w:rPr>
          <w:sz w:val="20"/>
        </w:rPr>
        <w:t xml:space="preserve"> e si occlude facilmente, espone al rischio di aspirazione polmonare ed è fastidioso risultando poco accettabile se non per brevi </w:t>
      </w:r>
      <w:r w:rsidR="00026A0B" w:rsidRPr="00FB2A41">
        <w:rPr>
          <w:sz w:val="20"/>
        </w:rPr>
        <w:t>periodi.</w:t>
      </w:r>
      <w:r w:rsidRPr="00FB2A41">
        <w:rPr>
          <w:sz w:val="20"/>
        </w:rPr>
        <w:t xml:space="preserve"> </w:t>
      </w:r>
    </w:p>
    <w:p w:rsidR="00144C89" w:rsidRPr="00FB2A41" w:rsidRDefault="00446F01" w:rsidP="00B206B7">
      <w:pPr>
        <w:pStyle w:val="Sottotitolo"/>
        <w:numPr>
          <w:ilvl w:val="0"/>
          <w:numId w:val="3"/>
        </w:numPr>
        <w:tabs>
          <w:tab w:val="num" w:pos="284"/>
        </w:tabs>
        <w:ind w:left="0" w:firstLine="426"/>
        <w:jc w:val="both"/>
        <w:rPr>
          <w:sz w:val="20"/>
        </w:rPr>
      </w:pPr>
      <w:r w:rsidRPr="00FB2A41">
        <w:rPr>
          <w:sz w:val="20"/>
        </w:rPr>
        <w:t xml:space="preserve">Gastrostomia o </w:t>
      </w:r>
      <w:proofErr w:type="spellStart"/>
      <w:r w:rsidRPr="00FB2A41">
        <w:rPr>
          <w:sz w:val="20"/>
        </w:rPr>
        <w:t>digiunostomia</w:t>
      </w:r>
      <w:proofErr w:type="spellEnd"/>
      <w:r w:rsidRPr="00FB2A41">
        <w:rPr>
          <w:sz w:val="20"/>
        </w:rPr>
        <w:t xml:space="preserve"> chirurgica che consiste nell’applicazione chirurgica di una sonda che collega lo stomaco all’esterno.</w:t>
      </w:r>
      <w:r w:rsidR="00026A0B" w:rsidRPr="00FB2A41">
        <w:rPr>
          <w:sz w:val="20"/>
        </w:rPr>
        <w:t xml:space="preserve"> In</w:t>
      </w:r>
      <w:r w:rsidRPr="00FB2A41">
        <w:rPr>
          <w:sz w:val="20"/>
        </w:rPr>
        <w:t xml:space="preserve"> questo caso vanno considerati i rischi legati all’intervento chirurgico oltre ai tempi di </w:t>
      </w:r>
      <w:r w:rsidR="00026A0B" w:rsidRPr="00FB2A41">
        <w:rPr>
          <w:sz w:val="20"/>
        </w:rPr>
        <w:t>degenza.</w:t>
      </w:r>
      <w:r w:rsidRPr="00FB2A41">
        <w:rPr>
          <w:sz w:val="20"/>
        </w:rPr>
        <w:t xml:space="preserve"> </w:t>
      </w:r>
    </w:p>
    <w:p w:rsidR="00446F01" w:rsidRPr="00FB2A41" w:rsidRDefault="00446F01" w:rsidP="00B206B7">
      <w:pPr>
        <w:pStyle w:val="Sottotitolo"/>
        <w:numPr>
          <w:ilvl w:val="0"/>
          <w:numId w:val="3"/>
        </w:numPr>
        <w:tabs>
          <w:tab w:val="num" w:pos="284"/>
        </w:tabs>
        <w:ind w:left="0" w:firstLine="426"/>
        <w:jc w:val="both"/>
        <w:rPr>
          <w:sz w:val="20"/>
        </w:rPr>
      </w:pPr>
      <w:r w:rsidRPr="00FB2A41">
        <w:rPr>
          <w:sz w:val="20"/>
        </w:rPr>
        <w:t>Nutrizione parenterale totale, ovvero l’introduzione di sostanze nutritive direttamente nel circolo ematico per mezzo di un catetere inserito in una vena di grosso calibro.</w:t>
      </w:r>
      <w:r w:rsidR="00026A0B" w:rsidRPr="00FB2A41">
        <w:rPr>
          <w:sz w:val="20"/>
        </w:rPr>
        <w:t xml:space="preserve"> È</w:t>
      </w:r>
      <w:r w:rsidRPr="00FB2A41">
        <w:rPr>
          <w:sz w:val="20"/>
        </w:rPr>
        <w:t xml:space="preserve"> di difficile gestione ed è gravata da numerose complicanze quali sepsi, atrofia intestinale, immunodepressione. Va considerata soprattutto nei casi in cui l’apparato digerente non può essere utilizzato</w:t>
      </w:r>
    </w:p>
    <w:p w:rsidR="00446F01" w:rsidRPr="00FB2A41" w:rsidRDefault="00446F01" w:rsidP="0064749E">
      <w:pPr>
        <w:pStyle w:val="Sottotitolo"/>
        <w:ind w:firstLine="426"/>
        <w:jc w:val="both"/>
        <w:rPr>
          <w:sz w:val="20"/>
        </w:rPr>
      </w:pPr>
    </w:p>
    <w:p w:rsidR="00446F01" w:rsidRPr="00FB2A41" w:rsidRDefault="00446F01" w:rsidP="0064749E">
      <w:pPr>
        <w:pStyle w:val="Sottotitolo"/>
        <w:jc w:val="both"/>
        <w:rPr>
          <w:b/>
          <w:sz w:val="20"/>
          <w:u w:val="single"/>
        </w:rPr>
      </w:pPr>
      <w:smartTag w:uri="urn:schemas-microsoft-com:office:smarttags" w:element="PersonName">
        <w:smartTagPr>
          <w:attr w:name="ProductID" w:val="LA SEDAZIONE"/>
        </w:smartTagPr>
        <w:r w:rsidRPr="00FB2A41">
          <w:rPr>
            <w:b/>
            <w:sz w:val="20"/>
            <w:u w:val="single"/>
          </w:rPr>
          <w:t>LA SEDAZIONE</w:t>
        </w:r>
      </w:smartTag>
    </w:p>
    <w:p w:rsidR="00446F01" w:rsidRPr="00FB2A41" w:rsidRDefault="00446F01" w:rsidP="0064749E">
      <w:pPr>
        <w:pStyle w:val="Sottotitolo"/>
        <w:spacing w:before="120"/>
        <w:ind w:firstLine="426"/>
        <w:jc w:val="both"/>
        <w:rPr>
          <w:sz w:val="20"/>
        </w:rPr>
      </w:pPr>
      <w:r w:rsidRPr="00FB2A41">
        <w:rPr>
          <w:sz w:val="20"/>
        </w:rPr>
        <w:t>Il posizionamento d</w:t>
      </w:r>
      <w:r w:rsidR="00A340DD" w:rsidRPr="00FB2A41">
        <w:rPr>
          <w:sz w:val="20"/>
        </w:rPr>
        <w:t xml:space="preserve">ella PEG, essendo una metodica </w:t>
      </w:r>
      <w:r w:rsidRPr="00FB2A41">
        <w:rPr>
          <w:sz w:val="20"/>
        </w:rPr>
        <w:t xml:space="preserve">che può provocare dolore e fastidio, avviene generalmente con l’ausilio della sedazione sia con l’intento di ridurre il disagio che per evitare reazioni agli stimoli </w:t>
      </w:r>
      <w:r w:rsidR="00026A0B" w:rsidRPr="00FB2A41">
        <w:rPr>
          <w:sz w:val="20"/>
        </w:rPr>
        <w:t>(</w:t>
      </w:r>
      <w:r w:rsidRPr="00FB2A41">
        <w:rPr>
          <w:sz w:val="20"/>
        </w:rPr>
        <w:t xml:space="preserve">es. reazioni vagali). Con i farmaci utilizzati, generalmente una benzodiazepina somministrata per via endovenosa e talvolta un oppioide, si cerca di </w:t>
      </w:r>
      <w:r w:rsidR="00144C89" w:rsidRPr="00FB2A41">
        <w:rPr>
          <w:sz w:val="20"/>
        </w:rPr>
        <w:t>ottenere una sedazione</w:t>
      </w:r>
      <w:r w:rsidR="00026A0B" w:rsidRPr="00FB2A41">
        <w:rPr>
          <w:sz w:val="20"/>
        </w:rPr>
        <w:t>,</w:t>
      </w:r>
      <w:r w:rsidRPr="00FB2A41">
        <w:rPr>
          <w:sz w:val="20"/>
        </w:rPr>
        <w:t xml:space="preserve"> ovvero il rilassamento durante la procedura, evitando comunque di arrivare ad una sedazione più profonda in quanto in questo caso si potrebbe verificare una compromissione della funzione respiratoria. A tal fine saranno </w:t>
      </w:r>
      <w:r w:rsidR="00026A0B" w:rsidRPr="00FB2A41">
        <w:rPr>
          <w:sz w:val="20"/>
        </w:rPr>
        <w:t>monitorate</w:t>
      </w:r>
      <w:r w:rsidRPr="00FB2A41">
        <w:rPr>
          <w:sz w:val="20"/>
        </w:rPr>
        <w:t xml:space="preserve"> l’ossigenazione e la frequenza cardiaca e il personale sorveglierà il paziente per rilevare eventuali complicanze.</w:t>
      </w:r>
    </w:p>
    <w:p w:rsidR="00446F01" w:rsidRPr="00FB2A41" w:rsidRDefault="00446F01" w:rsidP="0064749E">
      <w:pPr>
        <w:pStyle w:val="Sottotitolo"/>
        <w:ind w:firstLine="426"/>
        <w:jc w:val="both"/>
        <w:rPr>
          <w:sz w:val="20"/>
        </w:rPr>
      </w:pPr>
      <w:r w:rsidRPr="00FB2A41">
        <w:rPr>
          <w:sz w:val="20"/>
        </w:rPr>
        <w:t xml:space="preserve">Non esistono controindicazioni assolute alla sedazione. Gli effetti collaterali che si possono presentare sono rappresentati da anomalie di comportamento, distorsioni percettive, disattenzione e amnesia che si risolvono generalmente dopo un breve </w:t>
      </w:r>
      <w:r w:rsidR="00026A0B" w:rsidRPr="00FB2A41">
        <w:rPr>
          <w:sz w:val="20"/>
        </w:rPr>
        <w:t>periodo. Per</w:t>
      </w:r>
      <w:r w:rsidRPr="00FB2A41">
        <w:rPr>
          <w:sz w:val="20"/>
        </w:rPr>
        <w:t xml:space="preserve"> tale motivo è opportuno un periodo di osservazione dopo la procedura.</w:t>
      </w:r>
    </w:p>
    <w:p w:rsidR="00446F01" w:rsidRPr="00FB2A41" w:rsidRDefault="00446F01" w:rsidP="0064749E">
      <w:pPr>
        <w:pStyle w:val="Sottotitolo"/>
        <w:ind w:firstLine="426"/>
        <w:jc w:val="both"/>
        <w:rPr>
          <w:sz w:val="20"/>
        </w:rPr>
      </w:pPr>
      <w:r w:rsidRPr="00FB2A41">
        <w:rPr>
          <w:sz w:val="20"/>
        </w:rPr>
        <w:t>Le complicanze di tipo cardio-respiratorio ed in particolare la depressione respiratoria si presentano nello 0.5 % dei casi mentre la mortalità è assai bassa</w:t>
      </w:r>
      <w:r w:rsidR="00026A0B" w:rsidRPr="00FB2A41">
        <w:rPr>
          <w:sz w:val="20"/>
        </w:rPr>
        <w:t xml:space="preserve"> (</w:t>
      </w:r>
      <w:r w:rsidR="00DF6030">
        <w:rPr>
          <w:sz w:val="20"/>
        </w:rPr>
        <w:t xml:space="preserve">0.03%); esse </w:t>
      </w:r>
      <w:bookmarkStart w:id="0" w:name="_GoBack"/>
      <w:bookmarkEnd w:id="0"/>
      <w:r w:rsidRPr="00FB2A41">
        <w:rPr>
          <w:sz w:val="20"/>
        </w:rPr>
        <w:t>variano in base alle condizioni cliniche di base del paziente, essendo più frequenti in portatori di patologie severe a livello cardio-vascolare, respiratorio e neurologico</w:t>
      </w:r>
      <w:r w:rsidR="00026A0B" w:rsidRPr="00FB2A41">
        <w:rPr>
          <w:sz w:val="20"/>
        </w:rPr>
        <w:t>.</w:t>
      </w:r>
      <w:r w:rsidRPr="00FB2A41">
        <w:rPr>
          <w:sz w:val="20"/>
        </w:rPr>
        <w:t xml:space="preserve"> </w:t>
      </w:r>
      <w:r w:rsidR="00026A0B" w:rsidRPr="00FB2A41">
        <w:rPr>
          <w:sz w:val="20"/>
        </w:rPr>
        <w:t>È</w:t>
      </w:r>
      <w:r w:rsidRPr="00FB2A41">
        <w:rPr>
          <w:sz w:val="20"/>
        </w:rPr>
        <w:t xml:space="preserve"> segnalata anche la possibilità di flebite chimica in sede di iniezione, rara e in genere a risoluzione spontanea.</w:t>
      </w:r>
    </w:p>
    <w:p w:rsidR="00446F01" w:rsidRPr="00FB2A41" w:rsidRDefault="00446F01" w:rsidP="0064749E">
      <w:pPr>
        <w:pStyle w:val="Sottotitolo"/>
        <w:ind w:firstLine="426"/>
        <w:jc w:val="both"/>
        <w:rPr>
          <w:sz w:val="20"/>
        </w:rPr>
      </w:pPr>
      <w:r w:rsidRPr="00FB2A41">
        <w:rPr>
          <w:sz w:val="20"/>
        </w:rPr>
        <w:t>Esistono comunque degli antidoti ai farmaci usati per la sedazione che in caso di necessità possono essere somministrati tramite l’accesso venoso che viene mantenuto per tutta la durata dell’esame e durante la permanenza in sala osservazione.</w:t>
      </w:r>
    </w:p>
    <w:p w:rsidR="00334695" w:rsidRPr="00FB2A41" w:rsidRDefault="00446F01" w:rsidP="0064749E">
      <w:pPr>
        <w:pStyle w:val="Sottotitolo"/>
        <w:ind w:firstLine="426"/>
        <w:jc w:val="both"/>
        <w:rPr>
          <w:sz w:val="20"/>
        </w:rPr>
      </w:pPr>
      <w:r w:rsidRPr="00FB2A41">
        <w:rPr>
          <w:sz w:val="20"/>
        </w:rPr>
        <w:t xml:space="preserve">In </w:t>
      </w:r>
      <w:r w:rsidR="00970E29" w:rsidRPr="00FB2A41">
        <w:rPr>
          <w:sz w:val="20"/>
        </w:rPr>
        <w:t>alcuni casi</w:t>
      </w:r>
      <w:r w:rsidRPr="00FB2A41">
        <w:rPr>
          <w:sz w:val="20"/>
        </w:rPr>
        <w:t xml:space="preserve"> la procedura potrà essere eseguita </w:t>
      </w:r>
      <w:r w:rsidR="00970E29" w:rsidRPr="00FB2A41">
        <w:rPr>
          <w:sz w:val="20"/>
        </w:rPr>
        <w:t>con assistenza rianimatoria-anestesiologica.</w:t>
      </w:r>
    </w:p>
    <w:p w:rsidR="00334695" w:rsidRDefault="00334695" w:rsidP="00446F01">
      <w:pPr>
        <w:pStyle w:val="Sottotitolo"/>
        <w:spacing w:before="120"/>
        <w:ind w:firstLine="709"/>
        <w:jc w:val="both"/>
        <w:rPr>
          <w:sz w:val="20"/>
        </w:rPr>
      </w:pPr>
    </w:p>
    <w:p w:rsidR="00B206B7" w:rsidRDefault="00B206B7" w:rsidP="00446F01">
      <w:pPr>
        <w:pStyle w:val="Sottotitolo"/>
        <w:spacing w:before="120"/>
        <w:ind w:firstLine="709"/>
        <w:jc w:val="both"/>
        <w:rPr>
          <w:sz w:val="20"/>
        </w:rPr>
      </w:pPr>
    </w:p>
    <w:p w:rsidR="00DF6030" w:rsidRDefault="00DF6030" w:rsidP="00446F01">
      <w:pPr>
        <w:pStyle w:val="Sottotitolo"/>
        <w:spacing w:before="120"/>
        <w:ind w:firstLine="709"/>
        <w:jc w:val="both"/>
        <w:rPr>
          <w:sz w:val="20"/>
        </w:rPr>
      </w:pPr>
    </w:p>
    <w:p w:rsidR="00B206B7" w:rsidRPr="00FB2A41" w:rsidRDefault="00B206B7" w:rsidP="00446F01">
      <w:pPr>
        <w:pStyle w:val="Sottotitolo"/>
        <w:spacing w:before="120"/>
        <w:ind w:firstLine="709"/>
        <w:jc w:val="both"/>
        <w:rPr>
          <w:sz w:val="20"/>
        </w:rPr>
      </w:pPr>
    </w:p>
    <w:p w:rsidR="006B4178" w:rsidRDefault="006B4178" w:rsidP="00D14A6E">
      <w:pPr>
        <w:pStyle w:val="Sottotitolo"/>
        <w:spacing w:before="120"/>
        <w:ind w:left="284"/>
        <w:jc w:val="left"/>
        <w:rPr>
          <w:b/>
          <w:sz w:val="20"/>
        </w:rPr>
      </w:pPr>
    </w:p>
    <w:p w:rsidR="00FB2A41" w:rsidRDefault="00FB2A41" w:rsidP="00D14A6E">
      <w:pPr>
        <w:pStyle w:val="Sottotitolo"/>
        <w:spacing w:before="120"/>
        <w:ind w:left="284"/>
        <w:jc w:val="left"/>
        <w:rPr>
          <w:sz w:val="20"/>
        </w:rPr>
      </w:pPr>
      <w:r w:rsidRPr="00FB2A41">
        <w:rPr>
          <w:b/>
          <w:sz w:val="20"/>
        </w:rPr>
        <w:lastRenderedPageBreak/>
        <w:t>Bibliografia</w:t>
      </w:r>
      <w:r w:rsidRPr="00FB2A41">
        <w:rPr>
          <w:sz w:val="20"/>
        </w:rPr>
        <w:t xml:space="preserve"> </w:t>
      </w:r>
    </w:p>
    <w:p w:rsidR="00334695" w:rsidRPr="0058482A" w:rsidRDefault="00334695" w:rsidP="00FB2A41">
      <w:pPr>
        <w:pStyle w:val="Sottotitolo"/>
        <w:numPr>
          <w:ilvl w:val="0"/>
          <w:numId w:val="9"/>
        </w:numPr>
        <w:spacing w:before="120"/>
        <w:jc w:val="left"/>
        <w:rPr>
          <w:sz w:val="16"/>
          <w:szCs w:val="16"/>
        </w:rPr>
      </w:pPr>
      <w:r w:rsidRPr="0058482A">
        <w:rPr>
          <w:sz w:val="16"/>
          <w:szCs w:val="16"/>
        </w:rPr>
        <w:t>Legge 22 dicembre 2017, n. 219 Norme in materia di consenso informato e di disposizioni anticipate di trattamento. (GU n.12 del 16-1-2018)</w:t>
      </w:r>
    </w:p>
    <w:p w:rsidR="00334695" w:rsidRPr="0058482A" w:rsidRDefault="00334695" w:rsidP="00FB2A41">
      <w:pPr>
        <w:pStyle w:val="Sottotitolo"/>
        <w:numPr>
          <w:ilvl w:val="0"/>
          <w:numId w:val="9"/>
        </w:numPr>
        <w:spacing w:before="120"/>
        <w:jc w:val="left"/>
        <w:rPr>
          <w:sz w:val="16"/>
          <w:szCs w:val="16"/>
        </w:rPr>
      </w:pPr>
      <w:r w:rsidRPr="0058482A">
        <w:rPr>
          <w:sz w:val="16"/>
          <w:szCs w:val="16"/>
          <w:lang w:val="en-US"/>
        </w:rPr>
        <w:t xml:space="preserve">Informed consent for GI endoscopy. Standards of Practice Committee, Zuckerman MJ, </w:t>
      </w:r>
      <w:proofErr w:type="spellStart"/>
      <w:r w:rsidRPr="0058482A">
        <w:rPr>
          <w:sz w:val="16"/>
          <w:szCs w:val="16"/>
          <w:lang w:val="en-US"/>
        </w:rPr>
        <w:t>Shen</w:t>
      </w:r>
      <w:proofErr w:type="spellEnd"/>
      <w:r w:rsidRPr="0058482A">
        <w:rPr>
          <w:sz w:val="16"/>
          <w:szCs w:val="16"/>
          <w:lang w:val="en-US"/>
        </w:rPr>
        <w:t xml:space="preserve"> B, Harrison ME 3rd, Baron TH, Adler DG, Davila RE, </w:t>
      </w:r>
      <w:proofErr w:type="spellStart"/>
      <w:r w:rsidRPr="0058482A">
        <w:rPr>
          <w:sz w:val="16"/>
          <w:szCs w:val="16"/>
          <w:lang w:val="en-US"/>
        </w:rPr>
        <w:t>Gan</w:t>
      </w:r>
      <w:proofErr w:type="spellEnd"/>
      <w:r w:rsidRPr="0058482A">
        <w:rPr>
          <w:sz w:val="16"/>
          <w:szCs w:val="16"/>
          <w:lang w:val="en-US"/>
        </w:rPr>
        <w:t xml:space="preserve"> SI, Lichtenstein DR, </w:t>
      </w:r>
      <w:proofErr w:type="spellStart"/>
      <w:r w:rsidRPr="0058482A">
        <w:rPr>
          <w:sz w:val="16"/>
          <w:szCs w:val="16"/>
          <w:lang w:val="en-US"/>
        </w:rPr>
        <w:t>Qureshi</w:t>
      </w:r>
      <w:proofErr w:type="spellEnd"/>
      <w:r w:rsidRPr="0058482A">
        <w:rPr>
          <w:sz w:val="16"/>
          <w:szCs w:val="16"/>
          <w:lang w:val="en-US"/>
        </w:rPr>
        <w:t xml:space="preserve"> WA, </w:t>
      </w:r>
      <w:proofErr w:type="spellStart"/>
      <w:r w:rsidRPr="0058482A">
        <w:rPr>
          <w:sz w:val="16"/>
          <w:szCs w:val="16"/>
          <w:lang w:val="en-US"/>
        </w:rPr>
        <w:t>Rajan</w:t>
      </w:r>
      <w:proofErr w:type="spellEnd"/>
      <w:r w:rsidRPr="0058482A">
        <w:rPr>
          <w:sz w:val="16"/>
          <w:szCs w:val="16"/>
          <w:lang w:val="en-US"/>
        </w:rPr>
        <w:t xml:space="preserve"> E, </w:t>
      </w:r>
      <w:proofErr w:type="spellStart"/>
      <w:r w:rsidRPr="0058482A">
        <w:rPr>
          <w:sz w:val="16"/>
          <w:szCs w:val="16"/>
          <w:lang w:val="en-US"/>
        </w:rPr>
        <w:t>Fanelli</w:t>
      </w:r>
      <w:proofErr w:type="spellEnd"/>
      <w:r w:rsidRPr="0058482A">
        <w:rPr>
          <w:sz w:val="16"/>
          <w:szCs w:val="16"/>
          <w:lang w:val="en-US"/>
        </w:rPr>
        <w:t xml:space="preserve"> RD, Van Guilder T. </w:t>
      </w:r>
      <w:proofErr w:type="spellStart"/>
      <w:r w:rsidRPr="0058482A">
        <w:rPr>
          <w:sz w:val="16"/>
          <w:szCs w:val="16"/>
          <w:lang w:val="en-US"/>
        </w:rPr>
        <w:t>GastrointestEndosc</w:t>
      </w:r>
      <w:proofErr w:type="spellEnd"/>
      <w:r w:rsidRPr="0058482A">
        <w:rPr>
          <w:sz w:val="16"/>
          <w:szCs w:val="16"/>
          <w:lang w:val="en-US"/>
        </w:rPr>
        <w:t xml:space="preserve">. </w:t>
      </w:r>
      <w:r w:rsidRPr="0058482A">
        <w:rPr>
          <w:sz w:val="16"/>
          <w:szCs w:val="16"/>
        </w:rPr>
        <w:t>2007 Aug;66(2):213-8.</w:t>
      </w:r>
    </w:p>
    <w:p w:rsidR="00334695" w:rsidRPr="0058482A" w:rsidRDefault="00334695" w:rsidP="00FB2A41">
      <w:pPr>
        <w:pStyle w:val="Sottotitolo"/>
        <w:numPr>
          <w:ilvl w:val="0"/>
          <w:numId w:val="9"/>
        </w:numPr>
        <w:spacing w:before="120"/>
        <w:jc w:val="left"/>
        <w:rPr>
          <w:sz w:val="16"/>
          <w:szCs w:val="16"/>
        </w:rPr>
      </w:pPr>
      <w:r w:rsidRPr="0058482A">
        <w:rPr>
          <w:sz w:val="16"/>
          <w:szCs w:val="16"/>
          <w:lang w:val="en-US"/>
        </w:rPr>
        <w:t xml:space="preserve">Combined written and oral information prior to gastrointestinal endoscopy compared with oral information alone: a randomized trial. </w:t>
      </w:r>
      <w:proofErr w:type="spellStart"/>
      <w:r w:rsidRPr="0058482A">
        <w:rPr>
          <w:sz w:val="16"/>
          <w:szCs w:val="16"/>
          <w:lang w:val="en-US"/>
        </w:rPr>
        <w:t>Felley</w:t>
      </w:r>
      <w:proofErr w:type="spellEnd"/>
      <w:r w:rsidRPr="0058482A">
        <w:rPr>
          <w:sz w:val="16"/>
          <w:szCs w:val="16"/>
          <w:lang w:val="en-US"/>
        </w:rPr>
        <w:t xml:space="preserve"> C, </w:t>
      </w:r>
      <w:proofErr w:type="spellStart"/>
      <w:r w:rsidRPr="0058482A">
        <w:rPr>
          <w:sz w:val="16"/>
          <w:szCs w:val="16"/>
          <w:lang w:val="en-US"/>
        </w:rPr>
        <w:t>Perneger</w:t>
      </w:r>
      <w:proofErr w:type="spellEnd"/>
      <w:r w:rsidRPr="0058482A">
        <w:rPr>
          <w:sz w:val="16"/>
          <w:szCs w:val="16"/>
          <w:lang w:val="en-US"/>
        </w:rPr>
        <w:t xml:space="preserve"> TV, </w:t>
      </w:r>
      <w:proofErr w:type="spellStart"/>
      <w:r w:rsidRPr="0058482A">
        <w:rPr>
          <w:sz w:val="16"/>
          <w:szCs w:val="16"/>
          <w:lang w:val="en-US"/>
        </w:rPr>
        <w:t>Goulet</w:t>
      </w:r>
      <w:proofErr w:type="spellEnd"/>
      <w:r w:rsidRPr="0058482A">
        <w:rPr>
          <w:sz w:val="16"/>
          <w:szCs w:val="16"/>
          <w:lang w:val="en-US"/>
        </w:rPr>
        <w:t xml:space="preserve"> I, </w:t>
      </w:r>
      <w:proofErr w:type="spellStart"/>
      <w:r w:rsidRPr="0058482A">
        <w:rPr>
          <w:sz w:val="16"/>
          <w:szCs w:val="16"/>
          <w:lang w:val="en-US"/>
        </w:rPr>
        <w:t>Rouillard</w:t>
      </w:r>
      <w:proofErr w:type="spellEnd"/>
      <w:r w:rsidRPr="0058482A">
        <w:rPr>
          <w:sz w:val="16"/>
          <w:szCs w:val="16"/>
          <w:lang w:val="en-US"/>
        </w:rPr>
        <w:t xml:space="preserve"> C, </w:t>
      </w:r>
      <w:proofErr w:type="spellStart"/>
      <w:r w:rsidRPr="0058482A">
        <w:rPr>
          <w:sz w:val="16"/>
          <w:szCs w:val="16"/>
          <w:lang w:val="en-US"/>
        </w:rPr>
        <w:t>Azar-Pey</w:t>
      </w:r>
      <w:proofErr w:type="spellEnd"/>
      <w:r w:rsidRPr="0058482A">
        <w:rPr>
          <w:sz w:val="16"/>
          <w:szCs w:val="16"/>
          <w:lang w:val="en-US"/>
        </w:rPr>
        <w:t xml:space="preserve"> N, </w:t>
      </w:r>
      <w:proofErr w:type="spellStart"/>
      <w:r w:rsidRPr="0058482A">
        <w:rPr>
          <w:sz w:val="16"/>
          <w:szCs w:val="16"/>
          <w:lang w:val="en-US"/>
        </w:rPr>
        <w:t>Dorta</w:t>
      </w:r>
      <w:proofErr w:type="spellEnd"/>
      <w:r w:rsidRPr="0058482A">
        <w:rPr>
          <w:sz w:val="16"/>
          <w:szCs w:val="16"/>
          <w:lang w:val="en-US"/>
        </w:rPr>
        <w:t xml:space="preserve"> G, </w:t>
      </w:r>
      <w:proofErr w:type="spellStart"/>
      <w:r w:rsidRPr="0058482A">
        <w:rPr>
          <w:sz w:val="16"/>
          <w:szCs w:val="16"/>
          <w:lang w:val="en-US"/>
        </w:rPr>
        <w:t>Hadengue</w:t>
      </w:r>
      <w:proofErr w:type="spellEnd"/>
      <w:r w:rsidRPr="0058482A">
        <w:rPr>
          <w:sz w:val="16"/>
          <w:szCs w:val="16"/>
          <w:lang w:val="en-US"/>
        </w:rPr>
        <w:t xml:space="preserve"> A, </w:t>
      </w:r>
      <w:proofErr w:type="spellStart"/>
      <w:r w:rsidRPr="0058482A">
        <w:rPr>
          <w:sz w:val="16"/>
          <w:szCs w:val="16"/>
          <w:lang w:val="en-US"/>
        </w:rPr>
        <w:t>Frossard</w:t>
      </w:r>
      <w:proofErr w:type="spellEnd"/>
      <w:r w:rsidRPr="0058482A">
        <w:rPr>
          <w:sz w:val="16"/>
          <w:szCs w:val="16"/>
          <w:lang w:val="en-US"/>
        </w:rPr>
        <w:t xml:space="preserve"> JL. BMC </w:t>
      </w:r>
      <w:proofErr w:type="spellStart"/>
      <w:r w:rsidRPr="0058482A">
        <w:rPr>
          <w:sz w:val="16"/>
          <w:szCs w:val="16"/>
          <w:lang w:val="en-US"/>
        </w:rPr>
        <w:t>Gastroenterol</w:t>
      </w:r>
      <w:proofErr w:type="spellEnd"/>
      <w:r w:rsidRPr="0058482A">
        <w:rPr>
          <w:sz w:val="16"/>
          <w:szCs w:val="16"/>
          <w:lang w:val="en-US"/>
        </w:rPr>
        <w:t xml:space="preserve">. </w:t>
      </w:r>
      <w:r w:rsidRPr="0058482A">
        <w:rPr>
          <w:sz w:val="16"/>
          <w:szCs w:val="16"/>
        </w:rPr>
        <w:t xml:space="preserve">2008 </w:t>
      </w:r>
      <w:proofErr w:type="spellStart"/>
      <w:r w:rsidRPr="0058482A">
        <w:rPr>
          <w:sz w:val="16"/>
          <w:szCs w:val="16"/>
        </w:rPr>
        <w:t>Jun</w:t>
      </w:r>
      <w:proofErr w:type="spellEnd"/>
      <w:r w:rsidRPr="0058482A">
        <w:rPr>
          <w:sz w:val="16"/>
          <w:szCs w:val="16"/>
        </w:rPr>
        <w:t xml:space="preserve"> 3;8:22.</w:t>
      </w:r>
    </w:p>
    <w:p w:rsidR="00334695" w:rsidRPr="0058482A" w:rsidRDefault="00334695" w:rsidP="00FB2A41">
      <w:pPr>
        <w:pStyle w:val="Sottotitolo"/>
        <w:numPr>
          <w:ilvl w:val="0"/>
          <w:numId w:val="9"/>
        </w:numPr>
        <w:spacing w:before="120"/>
        <w:jc w:val="left"/>
        <w:rPr>
          <w:sz w:val="16"/>
          <w:szCs w:val="16"/>
        </w:rPr>
      </w:pPr>
      <w:proofErr w:type="spellStart"/>
      <w:r w:rsidRPr="0058482A">
        <w:rPr>
          <w:sz w:val="16"/>
          <w:szCs w:val="16"/>
        </w:rPr>
        <w:t>Favia</w:t>
      </w:r>
      <w:proofErr w:type="spellEnd"/>
      <w:r w:rsidRPr="0058482A">
        <w:rPr>
          <w:sz w:val="16"/>
          <w:szCs w:val="16"/>
        </w:rPr>
        <w:t xml:space="preserve"> C. et Al. : Informazione al paziente e consenso informato. “Sicurezza in Chirurgia” Ed. C.L.E.U.P. 2006; 97-278</w:t>
      </w:r>
    </w:p>
    <w:p w:rsidR="00334695" w:rsidRPr="0058482A" w:rsidRDefault="00334695" w:rsidP="00FB2A41">
      <w:pPr>
        <w:pStyle w:val="Sottotitolo"/>
        <w:numPr>
          <w:ilvl w:val="0"/>
          <w:numId w:val="9"/>
        </w:numPr>
        <w:spacing w:before="120"/>
        <w:jc w:val="left"/>
        <w:rPr>
          <w:sz w:val="16"/>
          <w:szCs w:val="16"/>
          <w:lang w:val="en-US"/>
        </w:rPr>
      </w:pPr>
      <w:r w:rsidRPr="0058482A">
        <w:rPr>
          <w:sz w:val="16"/>
          <w:szCs w:val="16"/>
          <w:lang w:val="en-US"/>
        </w:rPr>
        <w:t>Comparison of Introducer Percutaneous Endoscopic Gastrostomy with Open Gastrostomy in Advanced Esophageal Cancer Patients.</w:t>
      </w:r>
    </w:p>
    <w:p w:rsidR="00334695" w:rsidRPr="0058482A" w:rsidRDefault="00334695" w:rsidP="00FB2A41">
      <w:pPr>
        <w:pStyle w:val="Sottotitolo"/>
        <w:numPr>
          <w:ilvl w:val="0"/>
          <w:numId w:val="9"/>
        </w:numPr>
        <w:spacing w:before="120"/>
        <w:jc w:val="left"/>
        <w:rPr>
          <w:sz w:val="16"/>
          <w:szCs w:val="16"/>
        </w:rPr>
      </w:pPr>
      <w:proofErr w:type="spellStart"/>
      <w:r w:rsidRPr="0058482A">
        <w:rPr>
          <w:sz w:val="16"/>
          <w:szCs w:val="16"/>
          <w:lang w:val="en-US"/>
        </w:rPr>
        <w:t>Mahawongkajit</w:t>
      </w:r>
      <w:proofErr w:type="spellEnd"/>
      <w:r w:rsidRPr="0058482A">
        <w:rPr>
          <w:sz w:val="16"/>
          <w:szCs w:val="16"/>
          <w:lang w:val="en-US"/>
        </w:rPr>
        <w:t xml:space="preserve"> P1, </w:t>
      </w:r>
      <w:proofErr w:type="spellStart"/>
      <w:r w:rsidRPr="0058482A">
        <w:rPr>
          <w:sz w:val="16"/>
          <w:szCs w:val="16"/>
          <w:lang w:val="en-US"/>
        </w:rPr>
        <w:t>Techagumpuch</w:t>
      </w:r>
      <w:proofErr w:type="spellEnd"/>
      <w:r w:rsidRPr="0058482A">
        <w:rPr>
          <w:sz w:val="16"/>
          <w:szCs w:val="16"/>
          <w:lang w:val="en-US"/>
        </w:rPr>
        <w:t xml:space="preserve"> A2, </w:t>
      </w:r>
      <w:proofErr w:type="spellStart"/>
      <w:r w:rsidRPr="0058482A">
        <w:rPr>
          <w:sz w:val="16"/>
          <w:szCs w:val="16"/>
          <w:lang w:val="en-US"/>
        </w:rPr>
        <w:t>Limpavitayaporn</w:t>
      </w:r>
      <w:proofErr w:type="spellEnd"/>
      <w:r w:rsidRPr="0058482A">
        <w:rPr>
          <w:sz w:val="16"/>
          <w:szCs w:val="16"/>
          <w:lang w:val="en-US"/>
        </w:rPr>
        <w:t xml:space="preserve"> P2, </w:t>
      </w:r>
      <w:proofErr w:type="spellStart"/>
      <w:r w:rsidRPr="0058482A">
        <w:rPr>
          <w:sz w:val="16"/>
          <w:szCs w:val="16"/>
          <w:lang w:val="en-US"/>
        </w:rPr>
        <w:t>Kanlerd</w:t>
      </w:r>
      <w:proofErr w:type="spellEnd"/>
      <w:r w:rsidRPr="0058482A">
        <w:rPr>
          <w:sz w:val="16"/>
          <w:szCs w:val="16"/>
          <w:lang w:val="en-US"/>
        </w:rPr>
        <w:t xml:space="preserve"> A2, </w:t>
      </w:r>
      <w:proofErr w:type="spellStart"/>
      <w:r w:rsidRPr="0058482A">
        <w:rPr>
          <w:sz w:val="16"/>
          <w:szCs w:val="16"/>
          <w:lang w:val="en-US"/>
        </w:rPr>
        <w:t>Sriussadaporn</w:t>
      </w:r>
      <w:proofErr w:type="spellEnd"/>
      <w:r w:rsidRPr="0058482A">
        <w:rPr>
          <w:sz w:val="16"/>
          <w:szCs w:val="16"/>
          <w:lang w:val="en-US"/>
        </w:rPr>
        <w:t xml:space="preserve"> E2, </w:t>
      </w:r>
      <w:proofErr w:type="spellStart"/>
      <w:r w:rsidRPr="0058482A">
        <w:rPr>
          <w:sz w:val="16"/>
          <w:szCs w:val="16"/>
          <w:lang w:val="en-US"/>
        </w:rPr>
        <w:t>Juntong</w:t>
      </w:r>
      <w:proofErr w:type="spellEnd"/>
      <w:r w:rsidRPr="0058482A">
        <w:rPr>
          <w:sz w:val="16"/>
          <w:szCs w:val="16"/>
          <w:lang w:val="en-US"/>
        </w:rPr>
        <w:t xml:space="preserve"> J2, </w:t>
      </w:r>
      <w:proofErr w:type="spellStart"/>
      <w:r w:rsidRPr="0058482A">
        <w:rPr>
          <w:sz w:val="16"/>
          <w:szCs w:val="16"/>
          <w:lang w:val="en-US"/>
        </w:rPr>
        <w:t>Tongyoo</w:t>
      </w:r>
      <w:proofErr w:type="spellEnd"/>
      <w:r w:rsidRPr="0058482A">
        <w:rPr>
          <w:sz w:val="16"/>
          <w:szCs w:val="16"/>
          <w:lang w:val="en-US"/>
        </w:rPr>
        <w:t xml:space="preserve"> A2, </w:t>
      </w:r>
      <w:proofErr w:type="spellStart"/>
      <w:r w:rsidRPr="0058482A">
        <w:rPr>
          <w:sz w:val="16"/>
          <w:szCs w:val="16"/>
          <w:lang w:val="en-US"/>
        </w:rPr>
        <w:t>Mingmalairak</w:t>
      </w:r>
      <w:proofErr w:type="spellEnd"/>
      <w:r w:rsidRPr="0058482A">
        <w:rPr>
          <w:sz w:val="16"/>
          <w:szCs w:val="16"/>
          <w:lang w:val="en-US"/>
        </w:rPr>
        <w:t xml:space="preserve"> C2. </w:t>
      </w:r>
      <w:proofErr w:type="spellStart"/>
      <w:r w:rsidRPr="0058482A">
        <w:rPr>
          <w:sz w:val="16"/>
          <w:szCs w:val="16"/>
        </w:rPr>
        <w:t>Dysphagia</w:t>
      </w:r>
      <w:proofErr w:type="spellEnd"/>
      <w:r w:rsidRPr="0058482A">
        <w:rPr>
          <w:sz w:val="16"/>
          <w:szCs w:val="16"/>
        </w:rPr>
        <w:t xml:space="preserve">. 2019 </w:t>
      </w:r>
      <w:proofErr w:type="spellStart"/>
      <w:r w:rsidRPr="0058482A">
        <w:rPr>
          <w:sz w:val="16"/>
          <w:szCs w:val="16"/>
        </w:rPr>
        <w:t>Apr</w:t>
      </w:r>
      <w:proofErr w:type="spellEnd"/>
      <w:r w:rsidRPr="0058482A">
        <w:rPr>
          <w:sz w:val="16"/>
          <w:szCs w:val="16"/>
        </w:rPr>
        <w:t xml:space="preserve"> 25. </w:t>
      </w:r>
      <w:proofErr w:type="spellStart"/>
      <w:r w:rsidRPr="0058482A">
        <w:rPr>
          <w:sz w:val="16"/>
          <w:szCs w:val="16"/>
        </w:rPr>
        <w:t>doi</w:t>
      </w:r>
      <w:proofErr w:type="spellEnd"/>
      <w:r w:rsidRPr="0058482A">
        <w:rPr>
          <w:sz w:val="16"/>
          <w:szCs w:val="16"/>
        </w:rPr>
        <w:t>: 10.1007/s00455-019- 10017-w</w:t>
      </w:r>
    </w:p>
    <w:p w:rsidR="00334695" w:rsidRPr="0058482A" w:rsidRDefault="00334695" w:rsidP="00FB2A41">
      <w:pPr>
        <w:pStyle w:val="Sottotitolo"/>
        <w:numPr>
          <w:ilvl w:val="0"/>
          <w:numId w:val="9"/>
        </w:numPr>
        <w:spacing w:before="120"/>
        <w:jc w:val="left"/>
        <w:rPr>
          <w:sz w:val="16"/>
          <w:szCs w:val="16"/>
        </w:rPr>
      </w:pPr>
      <w:r w:rsidRPr="0058482A">
        <w:rPr>
          <w:sz w:val="16"/>
          <w:szCs w:val="16"/>
          <w:lang w:val="en-US"/>
        </w:rPr>
        <w:t xml:space="preserve">Complications of percutaneous endoscopic gastrostomy. </w:t>
      </w:r>
      <w:proofErr w:type="spellStart"/>
      <w:r w:rsidRPr="0058482A">
        <w:rPr>
          <w:sz w:val="16"/>
          <w:szCs w:val="16"/>
          <w:lang w:val="en-US"/>
        </w:rPr>
        <w:t>Hucl</w:t>
      </w:r>
      <w:proofErr w:type="spellEnd"/>
      <w:r w:rsidRPr="0058482A">
        <w:rPr>
          <w:sz w:val="16"/>
          <w:szCs w:val="16"/>
          <w:lang w:val="en-US"/>
        </w:rPr>
        <w:t xml:space="preserve"> T1, </w:t>
      </w:r>
      <w:proofErr w:type="spellStart"/>
      <w:r w:rsidRPr="0058482A">
        <w:rPr>
          <w:sz w:val="16"/>
          <w:szCs w:val="16"/>
          <w:lang w:val="en-US"/>
        </w:rPr>
        <w:t>Spicak</w:t>
      </w:r>
      <w:proofErr w:type="spellEnd"/>
      <w:r w:rsidRPr="0058482A">
        <w:rPr>
          <w:sz w:val="16"/>
          <w:szCs w:val="16"/>
          <w:lang w:val="en-US"/>
        </w:rPr>
        <w:t xml:space="preserve"> J2. Best </w:t>
      </w:r>
      <w:proofErr w:type="spellStart"/>
      <w:r w:rsidRPr="0058482A">
        <w:rPr>
          <w:sz w:val="16"/>
          <w:szCs w:val="16"/>
          <w:lang w:val="en-US"/>
        </w:rPr>
        <w:t>Pract</w:t>
      </w:r>
      <w:proofErr w:type="spellEnd"/>
      <w:r w:rsidRPr="0058482A">
        <w:rPr>
          <w:sz w:val="16"/>
          <w:szCs w:val="16"/>
          <w:lang w:val="en-US"/>
        </w:rPr>
        <w:t xml:space="preserve"> Res </w:t>
      </w:r>
      <w:proofErr w:type="spellStart"/>
      <w:r w:rsidRPr="0058482A">
        <w:rPr>
          <w:sz w:val="16"/>
          <w:szCs w:val="16"/>
          <w:lang w:val="en-US"/>
        </w:rPr>
        <w:t>ClinGastroenterol</w:t>
      </w:r>
      <w:proofErr w:type="spellEnd"/>
      <w:r w:rsidRPr="0058482A">
        <w:rPr>
          <w:sz w:val="16"/>
          <w:szCs w:val="16"/>
          <w:lang w:val="en-US"/>
        </w:rPr>
        <w:t xml:space="preserve">. </w:t>
      </w:r>
      <w:r w:rsidRPr="0058482A">
        <w:rPr>
          <w:sz w:val="16"/>
          <w:szCs w:val="16"/>
        </w:rPr>
        <w:t>2016 Oct;30(5):769-781.</w:t>
      </w:r>
    </w:p>
    <w:p w:rsidR="00A340DD" w:rsidRPr="0058482A" w:rsidRDefault="00A340DD" w:rsidP="00FB2A41">
      <w:pPr>
        <w:pStyle w:val="Sottotitolo"/>
        <w:numPr>
          <w:ilvl w:val="0"/>
          <w:numId w:val="9"/>
        </w:numPr>
        <w:spacing w:before="120"/>
        <w:jc w:val="left"/>
        <w:rPr>
          <w:sz w:val="16"/>
          <w:szCs w:val="16"/>
        </w:rPr>
      </w:pPr>
      <w:r w:rsidRPr="0058482A">
        <w:rPr>
          <w:sz w:val="16"/>
          <w:szCs w:val="16"/>
          <w:lang w:val="en-US"/>
        </w:rPr>
        <w:t xml:space="preserve">Endoscopic Management of enteral tubes in adult patients-Part 1: Definitions and indications. </w:t>
      </w:r>
      <w:r w:rsidRPr="0058482A">
        <w:rPr>
          <w:sz w:val="16"/>
          <w:szCs w:val="16"/>
        </w:rPr>
        <w:t xml:space="preserve">ESGE </w:t>
      </w:r>
      <w:proofErr w:type="spellStart"/>
      <w:r w:rsidRPr="0058482A">
        <w:rPr>
          <w:sz w:val="16"/>
          <w:szCs w:val="16"/>
        </w:rPr>
        <w:t>Guideline</w:t>
      </w:r>
      <w:proofErr w:type="spellEnd"/>
      <w:r w:rsidRPr="0058482A">
        <w:rPr>
          <w:sz w:val="16"/>
          <w:szCs w:val="16"/>
        </w:rPr>
        <w:t xml:space="preserve">: </w:t>
      </w:r>
      <w:proofErr w:type="spellStart"/>
      <w:r w:rsidRPr="0058482A">
        <w:rPr>
          <w:sz w:val="16"/>
          <w:szCs w:val="16"/>
        </w:rPr>
        <w:t>Endoscopy</w:t>
      </w:r>
      <w:proofErr w:type="spellEnd"/>
      <w:r w:rsidRPr="0058482A">
        <w:rPr>
          <w:sz w:val="16"/>
          <w:szCs w:val="16"/>
        </w:rPr>
        <w:t xml:space="preserve"> 2021 </w:t>
      </w:r>
      <w:proofErr w:type="spellStart"/>
      <w:r w:rsidRPr="0058482A">
        <w:rPr>
          <w:sz w:val="16"/>
          <w:szCs w:val="16"/>
        </w:rPr>
        <w:t>Jan</w:t>
      </w:r>
      <w:proofErr w:type="spellEnd"/>
      <w:r w:rsidRPr="0058482A">
        <w:rPr>
          <w:sz w:val="16"/>
          <w:szCs w:val="16"/>
        </w:rPr>
        <w:t>; vol.53: 81-92</w:t>
      </w:r>
    </w:p>
    <w:p w:rsidR="00A340DD" w:rsidRPr="0058482A" w:rsidRDefault="00A340DD" w:rsidP="00FB2A41">
      <w:pPr>
        <w:pStyle w:val="Sottotitolo"/>
        <w:numPr>
          <w:ilvl w:val="0"/>
          <w:numId w:val="9"/>
        </w:numPr>
        <w:spacing w:before="120"/>
        <w:jc w:val="left"/>
        <w:rPr>
          <w:sz w:val="16"/>
          <w:szCs w:val="16"/>
        </w:rPr>
      </w:pPr>
      <w:r w:rsidRPr="0058482A">
        <w:rPr>
          <w:sz w:val="16"/>
          <w:szCs w:val="16"/>
          <w:lang w:val="en-US"/>
        </w:rPr>
        <w:t xml:space="preserve">Endoscopic Management of enteral tubes in adult patients-Part 2: </w:t>
      </w:r>
      <w:proofErr w:type="spellStart"/>
      <w:r w:rsidRPr="0058482A">
        <w:rPr>
          <w:sz w:val="16"/>
          <w:szCs w:val="16"/>
          <w:lang w:val="en-US"/>
        </w:rPr>
        <w:t>Peri</w:t>
      </w:r>
      <w:proofErr w:type="spellEnd"/>
      <w:r w:rsidRPr="0058482A">
        <w:rPr>
          <w:sz w:val="16"/>
          <w:szCs w:val="16"/>
          <w:lang w:val="en-US"/>
        </w:rPr>
        <w:t xml:space="preserve">-and post-procedural management. </w:t>
      </w:r>
      <w:r w:rsidRPr="0058482A">
        <w:rPr>
          <w:sz w:val="16"/>
          <w:szCs w:val="16"/>
        </w:rPr>
        <w:t xml:space="preserve">ESGE </w:t>
      </w:r>
      <w:proofErr w:type="spellStart"/>
      <w:r w:rsidRPr="0058482A">
        <w:rPr>
          <w:sz w:val="16"/>
          <w:szCs w:val="16"/>
        </w:rPr>
        <w:t>Guideline</w:t>
      </w:r>
      <w:proofErr w:type="spellEnd"/>
      <w:r w:rsidRPr="0058482A">
        <w:rPr>
          <w:sz w:val="16"/>
          <w:szCs w:val="16"/>
        </w:rPr>
        <w:t xml:space="preserve">: </w:t>
      </w:r>
      <w:proofErr w:type="spellStart"/>
      <w:r w:rsidRPr="0058482A">
        <w:rPr>
          <w:sz w:val="16"/>
          <w:szCs w:val="16"/>
        </w:rPr>
        <w:t>Endoscopy</w:t>
      </w:r>
      <w:proofErr w:type="spellEnd"/>
      <w:r w:rsidRPr="0058482A">
        <w:rPr>
          <w:sz w:val="16"/>
          <w:szCs w:val="16"/>
        </w:rPr>
        <w:t xml:space="preserve"> 2021 </w:t>
      </w:r>
      <w:proofErr w:type="spellStart"/>
      <w:r w:rsidRPr="0058482A">
        <w:rPr>
          <w:sz w:val="16"/>
          <w:szCs w:val="16"/>
        </w:rPr>
        <w:t>Jan</w:t>
      </w:r>
      <w:proofErr w:type="spellEnd"/>
      <w:r w:rsidRPr="0058482A">
        <w:rPr>
          <w:sz w:val="16"/>
          <w:szCs w:val="16"/>
        </w:rPr>
        <w:t>; vol.53: 178-195</w:t>
      </w:r>
    </w:p>
    <w:p w:rsidR="00A340DD" w:rsidRPr="0058482A" w:rsidRDefault="00A340DD" w:rsidP="00FB2A41">
      <w:pPr>
        <w:pStyle w:val="Paragrafoelenco"/>
        <w:numPr>
          <w:ilvl w:val="0"/>
          <w:numId w:val="9"/>
        </w:numPr>
        <w:spacing w:before="240"/>
        <w:rPr>
          <w:sz w:val="16"/>
          <w:szCs w:val="16"/>
        </w:rPr>
      </w:pPr>
      <w:r w:rsidRPr="0058482A">
        <w:rPr>
          <w:sz w:val="16"/>
          <w:szCs w:val="16"/>
        </w:rPr>
        <w:t>Informazione e consenso per le procedure di Endoscopia Digestiva-SIED 2013</w:t>
      </w:r>
    </w:p>
    <w:p w:rsidR="00A340DD" w:rsidRPr="0058482A" w:rsidRDefault="00A340DD" w:rsidP="00A340DD">
      <w:pPr>
        <w:pStyle w:val="Paragrafoelenco"/>
        <w:spacing w:before="240"/>
        <w:rPr>
          <w:sz w:val="16"/>
          <w:szCs w:val="16"/>
        </w:rPr>
      </w:pPr>
    </w:p>
    <w:p w:rsidR="00A340DD" w:rsidRDefault="00A340DD" w:rsidP="00FB2A41">
      <w:pPr>
        <w:pStyle w:val="Paragrafoelenco"/>
        <w:numPr>
          <w:ilvl w:val="0"/>
          <w:numId w:val="9"/>
        </w:numPr>
        <w:spacing w:before="240"/>
        <w:rPr>
          <w:sz w:val="16"/>
          <w:szCs w:val="16"/>
        </w:rPr>
      </w:pPr>
      <w:r w:rsidRPr="0058482A">
        <w:rPr>
          <w:sz w:val="16"/>
          <w:szCs w:val="16"/>
        </w:rPr>
        <w:t xml:space="preserve"> Consenso informato e informative alle procedure- supplemento GIED marzo 2020</w:t>
      </w:r>
    </w:p>
    <w:p w:rsidR="006B4178" w:rsidRPr="006B4178" w:rsidRDefault="006B4178" w:rsidP="006B4178">
      <w:pPr>
        <w:spacing w:before="240"/>
        <w:rPr>
          <w:sz w:val="16"/>
          <w:szCs w:val="16"/>
        </w:rPr>
      </w:pPr>
    </w:p>
    <w:p w:rsidR="00A340DD" w:rsidRDefault="00A340DD" w:rsidP="00A340DD">
      <w:pPr>
        <w:pStyle w:val="Sottotitolo"/>
        <w:spacing w:before="120"/>
        <w:ind w:left="720"/>
        <w:jc w:val="left"/>
        <w:rPr>
          <w:sz w:val="20"/>
        </w:rPr>
      </w:pPr>
    </w:p>
    <w:p w:rsidR="00E05B92" w:rsidRPr="006B4178" w:rsidRDefault="00E05B92" w:rsidP="00A340DD">
      <w:pPr>
        <w:pStyle w:val="Sottotitolo"/>
        <w:spacing w:before="120"/>
        <w:ind w:left="720"/>
        <w:jc w:val="left"/>
        <w:rPr>
          <w:sz w:val="20"/>
        </w:rPr>
      </w:pPr>
    </w:p>
    <w:p w:rsidR="0080364E" w:rsidRDefault="0080364E" w:rsidP="0080364E">
      <w:pPr>
        <w:suppressAutoHyphens/>
        <w:spacing w:line="276" w:lineRule="auto"/>
        <w:ind w:left="720"/>
        <w:jc w:val="both"/>
        <w:rPr>
          <w:sz w:val="20"/>
          <w:szCs w:val="20"/>
          <w:lang w:eastAsia="ar-SA"/>
        </w:rPr>
      </w:pPr>
      <w:proofErr w:type="spellStart"/>
      <w:r>
        <w:rPr>
          <w:sz w:val="20"/>
          <w:szCs w:val="20"/>
          <w:lang w:eastAsia="ar-SA"/>
        </w:rPr>
        <w:t>InvitandoLa</w:t>
      </w:r>
      <w:proofErr w:type="spellEnd"/>
      <w:r>
        <w:rPr>
          <w:sz w:val="20"/>
          <w:szCs w:val="20"/>
          <w:lang w:eastAsia="ar-SA"/>
        </w:rPr>
        <w:t xml:space="preserve"> a </w:t>
      </w:r>
      <w:r>
        <w:rPr>
          <w:b/>
          <w:sz w:val="20"/>
          <w:szCs w:val="20"/>
          <w:lang w:eastAsia="ar-SA"/>
        </w:rPr>
        <w:t>leggere con attenzione</w:t>
      </w:r>
      <w:r>
        <w:rPr>
          <w:sz w:val="20"/>
          <w:szCs w:val="20"/>
          <w:lang w:eastAsia="ar-SA"/>
        </w:rPr>
        <w:t xml:space="preserve"> quanto sopra riportato, La invitiamo a compilare i campi sottostanti: </w:t>
      </w:r>
    </w:p>
    <w:p w:rsidR="0080364E" w:rsidRDefault="0080364E" w:rsidP="0080364E">
      <w:pPr>
        <w:suppressAutoHyphens/>
        <w:spacing w:line="276" w:lineRule="auto"/>
        <w:ind w:left="720"/>
        <w:jc w:val="both"/>
        <w:rPr>
          <w:sz w:val="20"/>
          <w:szCs w:val="20"/>
          <w:lang w:eastAsia="ar-SA"/>
        </w:rPr>
      </w:pPr>
    </w:p>
    <w:p w:rsidR="0080364E" w:rsidRDefault="0080364E" w:rsidP="0080364E">
      <w:pPr>
        <w:suppressAutoHyphens/>
        <w:spacing w:line="276" w:lineRule="auto"/>
        <w:ind w:left="720"/>
        <w:jc w:val="both"/>
        <w:rPr>
          <w:sz w:val="20"/>
          <w:szCs w:val="20"/>
          <w:lang w:eastAsia="ar-SA"/>
        </w:rPr>
      </w:pPr>
      <w:r>
        <w:rPr>
          <w:sz w:val="20"/>
          <w:szCs w:val="20"/>
          <w:lang w:eastAsia="ar-SA"/>
        </w:rPr>
        <w:t xml:space="preserve">Io sottoscritto/a ___________________________________ </w:t>
      </w:r>
      <w:r>
        <w:rPr>
          <w:i/>
          <w:sz w:val="20"/>
          <w:szCs w:val="20"/>
          <w:lang w:eastAsia="ar-SA"/>
        </w:rPr>
        <w:t>(indicare nome e cognome)</w:t>
      </w:r>
    </w:p>
    <w:p w:rsidR="0080364E" w:rsidRDefault="0080364E" w:rsidP="0080364E">
      <w:pPr>
        <w:suppressAutoHyphens/>
        <w:spacing w:line="276" w:lineRule="auto"/>
        <w:ind w:left="720"/>
        <w:jc w:val="both"/>
        <w:rPr>
          <w:sz w:val="20"/>
          <w:szCs w:val="20"/>
          <w:lang w:eastAsia="ar-SA"/>
        </w:rPr>
      </w:pPr>
      <w:r>
        <w:rPr>
          <w:sz w:val="20"/>
          <w:szCs w:val="20"/>
          <w:lang w:eastAsia="ar-SA"/>
        </w:rPr>
        <w:t xml:space="preserve">Nato/a </w:t>
      </w:r>
      <w:proofErr w:type="spellStart"/>
      <w:r>
        <w:rPr>
          <w:sz w:val="20"/>
          <w:szCs w:val="20"/>
          <w:lang w:eastAsia="ar-SA"/>
        </w:rPr>
        <w:t>a</w:t>
      </w:r>
      <w:proofErr w:type="spellEnd"/>
      <w:r>
        <w:rPr>
          <w:sz w:val="20"/>
          <w:szCs w:val="20"/>
          <w:lang w:eastAsia="ar-SA"/>
        </w:rPr>
        <w:t>______________________________________________ il ________________</w:t>
      </w:r>
    </w:p>
    <w:p w:rsidR="0080364E" w:rsidRDefault="0080364E" w:rsidP="0080364E">
      <w:pPr>
        <w:suppressAutoHyphens/>
        <w:spacing w:line="276" w:lineRule="auto"/>
        <w:ind w:left="720"/>
        <w:jc w:val="both"/>
        <w:rPr>
          <w:sz w:val="20"/>
          <w:szCs w:val="20"/>
          <w:lang w:eastAsia="ar-SA"/>
        </w:rPr>
      </w:pPr>
      <w:r>
        <w:rPr>
          <w:sz w:val="20"/>
          <w:szCs w:val="20"/>
          <w:lang w:eastAsia="ar-SA"/>
        </w:rPr>
        <w:t xml:space="preserve">in qualità di  </w:t>
      </w:r>
      <w:r>
        <w:rPr>
          <w:sz w:val="20"/>
          <w:szCs w:val="20"/>
          <w:lang w:eastAsia="ar-SA"/>
        </w:rPr>
        <w:tab/>
        <w:t xml:space="preserve"> </w:t>
      </w:r>
      <w:r>
        <w:rPr>
          <w:sz w:val="20"/>
          <w:szCs w:val="20"/>
          <w:lang w:eastAsia="ar-SA"/>
        </w:rPr>
        <w:sym w:font="Symbol" w:char="F0FF"/>
      </w:r>
      <w:r>
        <w:rPr>
          <w:sz w:val="20"/>
          <w:szCs w:val="20"/>
          <w:lang w:eastAsia="ar-SA"/>
        </w:rPr>
        <w:t xml:space="preserve"> paziente</w:t>
      </w:r>
    </w:p>
    <w:p w:rsidR="0080364E" w:rsidRDefault="0080364E" w:rsidP="0080364E">
      <w:pPr>
        <w:suppressAutoHyphens/>
        <w:spacing w:line="276" w:lineRule="auto"/>
        <w:jc w:val="both"/>
        <w:rPr>
          <w:sz w:val="20"/>
          <w:szCs w:val="20"/>
          <w:lang w:eastAsia="ar-SA"/>
        </w:rPr>
      </w:pPr>
      <w:r>
        <w:rPr>
          <w:sz w:val="20"/>
          <w:szCs w:val="20"/>
          <w:lang w:eastAsia="ar-SA"/>
        </w:rPr>
        <w:t xml:space="preserve">                                   </w:t>
      </w:r>
      <w:r>
        <w:rPr>
          <w:sz w:val="20"/>
          <w:szCs w:val="20"/>
          <w:lang w:eastAsia="ar-SA"/>
        </w:rPr>
        <w:tab/>
        <w:t xml:space="preserve"> </w:t>
      </w:r>
      <w:r>
        <w:rPr>
          <w:sz w:val="20"/>
          <w:szCs w:val="20"/>
          <w:lang w:eastAsia="ar-SA"/>
        </w:rPr>
        <w:sym w:font="Symbol" w:char="F0FF"/>
      </w:r>
      <w:r>
        <w:rPr>
          <w:sz w:val="20"/>
          <w:szCs w:val="20"/>
          <w:lang w:eastAsia="ar-SA"/>
        </w:rPr>
        <w:t xml:space="preserve"> legale rappresentante___________________________________</w:t>
      </w:r>
      <w:r>
        <w:rPr>
          <w:i/>
          <w:sz w:val="20"/>
          <w:szCs w:val="20"/>
          <w:lang w:eastAsia="ar-SA"/>
        </w:rPr>
        <w:t>(indicare ruolo)</w:t>
      </w:r>
    </w:p>
    <w:p w:rsidR="0080364E" w:rsidRDefault="0080364E" w:rsidP="0080364E">
      <w:pPr>
        <w:suppressAutoHyphens/>
        <w:spacing w:line="276" w:lineRule="auto"/>
        <w:jc w:val="both"/>
        <w:rPr>
          <w:sz w:val="20"/>
          <w:szCs w:val="20"/>
          <w:lang w:eastAsia="ar-SA"/>
        </w:rPr>
      </w:pPr>
      <w:r>
        <w:rPr>
          <w:sz w:val="20"/>
          <w:szCs w:val="20"/>
          <w:lang w:eastAsia="ar-SA"/>
        </w:rPr>
        <w:t xml:space="preserve">                                    </w:t>
      </w:r>
      <w:r>
        <w:rPr>
          <w:sz w:val="20"/>
          <w:szCs w:val="20"/>
          <w:lang w:eastAsia="ar-SA"/>
        </w:rPr>
        <w:tab/>
        <w:t xml:space="preserve"> </w:t>
      </w:r>
      <w:r>
        <w:rPr>
          <w:sz w:val="20"/>
          <w:szCs w:val="20"/>
          <w:lang w:eastAsia="ar-SA"/>
        </w:rPr>
        <w:sym w:font="Symbol" w:char="F0FF"/>
      </w:r>
      <w:r>
        <w:rPr>
          <w:sz w:val="20"/>
          <w:szCs w:val="20"/>
          <w:lang w:eastAsia="ar-SA"/>
        </w:rPr>
        <w:t xml:space="preserve"> delegato del paziente a ricevere l’informazione in sua vece</w:t>
      </w:r>
    </w:p>
    <w:p w:rsidR="0080364E" w:rsidRDefault="0080364E" w:rsidP="0080364E">
      <w:pPr>
        <w:suppressAutoHyphens/>
        <w:spacing w:line="276" w:lineRule="auto"/>
        <w:jc w:val="both"/>
        <w:rPr>
          <w:sz w:val="20"/>
          <w:szCs w:val="20"/>
          <w:lang w:eastAsia="ar-SA"/>
        </w:rPr>
      </w:pPr>
    </w:p>
    <w:p w:rsidR="0080364E" w:rsidRDefault="0080364E" w:rsidP="0080364E">
      <w:pPr>
        <w:suppressAutoHyphens/>
        <w:spacing w:line="276" w:lineRule="auto"/>
        <w:jc w:val="both"/>
        <w:rPr>
          <w:i/>
          <w:sz w:val="20"/>
          <w:szCs w:val="20"/>
          <w:lang w:eastAsia="ar-SA"/>
        </w:rPr>
      </w:pPr>
      <w:r>
        <w:rPr>
          <w:sz w:val="20"/>
          <w:szCs w:val="20"/>
          <w:lang w:eastAsia="ar-SA"/>
        </w:rPr>
        <w:t xml:space="preserve">      </w:t>
      </w:r>
      <w:r>
        <w:rPr>
          <w:sz w:val="20"/>
          <w:szCs w:val="20"/>
          <w:lang w:eastAsia="ar-SA"/>
        </w:rPr>
        <w:tab/>
      </w:r>
      <w:r>
        <w:rPr>
          <w:i/>
          <w:sz w:val="20"/>
          <w:szCs w:val="20"/>
          <w:lang w:eastAsia="ar-SA"/>
        </w:rPr>
        <w:t>Alla presenza di__________________________________________________________</w:t>
      </w:r>
    </w:p>
    <w:p w:rsidR="0080364E" w:rsidRDefault="0080364E" w:rsidP="0080364E">
      <w:pPr>
        <w:suppressAutoHyphens/>
        <w:spacing w:line="276" w:lineRule="auto"/>
        <w:jc w:val="both"/>
        <w:rPr>
          <w:i/>
          <w:sz w:val="20"/>
          <w:szCs w:val="20"/>
          <w:lang w:eastAsia="ar-SA"/>
        </w:rPr>
      </w:pPr>
    </w:p>
    <w:p w:rsidR="0080364E" w:rsidRDefault="0080364E" w:rsidP="0080364E">
      <w:pPr>
        <w:suppressAutoHyphens/>
        <w:spacing w:line="276" w:lineRule="auto"/>
        <w:ind w:firstLine="708"/>
        <w:jc w:val="both"/>
        <w:rPr>
          <w:i/>
          <w:sz w:val="20"/>
          <w:szCs w:val="20"/>
          <w:lang w:eastAsia="ar-SA"/>
        </w:rPr>
      </w:pPr>
      <w:r>
        <w:rPr>
          <w:i/>
          <w:sz w:val="20"/>
          <w:szCs w:val="20"/>
          <w:lang w:eastAsia="ar-SA"/>
        </w:rPr>
        <w:t xml:space="preserve">Ho avuto in data ______________un colloquio informativo con il/la </w:t>
      </w:r>
      <w:proofErr w:type="spellStart"/>
      <w:r>
        <w:rPr>
          <w:i/>
          <w:sz w:val="20"/>
          <w:szCs w:val="20"/>
          <w:lang w:eastAsia="ar-SA"/>
        </w:rPr>
        <w:t>dott</w:t>
      </w:r>
      <w:proofErr w:type="spellEnd"/>
      <w:r>
        <w:rPr>
          <w:i/>
          <w:sz w:val="20"/>
          <w:szCs w:val="20"/>
          <w:lang w:eastAsia="ar-SA"/>
        </w:rPr>
        <w:t>/dott.ssa_______________________________</w:t>
      </w:r>
    </w:p>
    <w:p w:rsidR="0080364E" w:rsidRDefault="0080364E" w:rsidP="0080364E">
      <w:pPr>
        <w:suppressAutoHyphens/>
        <w:spacing w:line="276" w:lineRule="auto"/>
        <w:jc w:val="both"/>
        <w:rPr>
          <w:i/>
          <w:sz w:val="20"/>
          <w:szCs w:val="20"/>
          <w:lang w:eastAsia="ar-SA"/>
        </w:rPr>
      </w:pPr>
      <w:r>
        <w:rPr>
          <w:i/>
          <w:sz w:val="20"/>
          <w:szCs w:val="20"/>
          <w:lang w:eastAsia="ar-SA"/>
        </w:rPr>
        <w:t>ed ho ricevuto questa scheda informativa in merito all’atto sanitario di ______________________________________________</w:t>
      </w:r>
    </w:p>
    <w:p w:rsidR="0080364E" w:rsidRDefault="0080364E" w:rsidP="0080364E">
      <w:pPr>
        <w:suppressAutoHyphens/>
        <w:spacing w:line="276" w:lineRule="auto"/>
        <w:ind w:left="720"/>
        <w:jc w:val="both"/>
        <w:rPr>
          <w:sz w:val="20"/>
          <w:szCs w:val="20"/>
          <w:lang w:eastAsia="ar-SA"/>
        </w:rPr>
      </w:pPr>
    </w:p>
    <w:p w:rsidR="0080364E" w:rsidRDefault="0080364E" w:rsidP="0080364E">
      <w:pPr>
        <w:suppressAutoHyphens/>
        <w:spacing w:line="276" w:lineRule="auto"/>
        <w:ind w:left="720"/>
        <w:jc w:val="both"/>
        <w:rPr>
          <w:sz w:val="22"/>
          <w:lang w:eastAsia="ar-SA"/>
        </w:rPr>
      </w:pPr>
      <w:r>
        <w:rPr>
          <w:sz w:val="22"/>
          <w:lang w:eastAsia="ar-SA"/>
        </w:rPr>
        <w:t>______________________                                                           _____________________________</w:t>
      </w:r>
    </w:p>
    <w:p w:rsidR="0080364E" w:rsidRDefault="0080364E" w:rsidP="0080364E">
      <w:pPr>
        <w:suppressAutoHyphens/>
        <w:spacing w:line="276" w:lineRule="auto"/>
        <w:ind w:left="720"/>
        <w:jc w:val="both"/>
        <w:rPr>
          <w:b/>
          <w:i/>
          <w:sz w:val="14"/>
          <w:szCs w:val="16"/>
          <w:lang w:eastAsia="ar-SA"/>
        </w:rPr>
      </w:pPr>
      <w:r>
        <w:rPr>
          <w:b/>
          <w:i/>
          <w:sz w:val="14"/>
          <w:szCs w:val="16"/>
          <w:lang w:eastAsia="ar-SA"/>
        </w:rPr>
        <w:t xml:space="preserve">(firma della persona informata)                                                                                   </w:t>
      </w:r>
      <w:r>
        <w:rPr>
          <w:b/>
          <w:i/>
          <w:sz w:val="14"/>
          <w:szCs w:val="16"/>
          <w:lang w:eastAsia="ar-SA"/>
        </w:rPr>
        <w:tab/>
      </w:r>
      <w:r>
        <w:rPr>
          <w:b/>
          <w:i/>
          <w:sz w:val="14"/>
          <w:szCs w:val="16"/>
          <w:lang w:eastAsia="ar-SA"/>
        </w:rPr>
        <w:tab/>
        <w:t xml:space="preserve">(firma del medico che ha effettuato il primo colloquio </w:t>
      </w:r>
    </w:p>
    <w:p w:rsidR="0080364E" w:rsidRDefault="0080364E" w:rsidP="0080364E">
      <w:pPr>
        <w:suppressAutoHyphens/>
        <w:spacing w:line="276" w:lineRule="auto"/>
        <w:ind w:left="720"/>
        <w:jc w:val="both"/>
        <w:rPr>
          <w:sz w:val="22"/>
          <w:lang w:eastAsia="ar-SA"/>
        </w:rPr>
      </w:pPr>
      <w:r>
        <w:rPr>
          <w:b/>
          <w:i/>
          <w:sz w:val="14"/>
          <w:szCs w:val="16"/>
          <w:lang w:eastAsia="ar-SA"/>
        </w:rPr>
        <w:t xml:space="preserve">                                                                                                                                          </w:t>
      </w:r>
      <w:r>
        <w:rPr>
          <w:b/>
          <w:i/>
          <w:sz w:val="14"/>
          <w:szCs w:val="16"/>
          <w:lang w:eastAsia="ar-SA"/>
        </w:rPr>
        <w:tab/>
      </w:r>
      <w:r>
        <w:rPr>
          <w:b/>
          <w:i/>
          <w:sz w:val="14"/>
          <w:szCs w:val="16"/>
          <w:lang w:eastAsia="ar-SA"/>
        </w:rPr>
        <w:tab/>
        <w:t xml:space="preserve"> e consegnato la scheda informativa)</w:t>
      </w:r>
    </w:p>
    <w:p w:rsidR="0080364E" w:rsidRDefault="0080364E" w:rsidP="0080364E">
      <w:pPr>
        <w:suppressAutoHyphens/>
        <w:spacing w:line="276" w:lineRule="auto"/>
        <w:ind w:left="720"/>
        <w:jc w:val="both"/>
        <w:rPr>
          <w:sz w:val="20"/>
          <w:szCs w:val="20"/>
          <w:lang w:eastAsia="ar-SA"/>
        </w:rPr>
      </w:pPr>
    </w:p>
    <w:p w:rsidR="0080364E" w:rsidRDefault="0080364E" w:rsidP="0080364E">
      <w:pPr>
        <w:suppressAutoHyphens/>
        <w:spacing w:line="276" w:lineRule="auto"/>
        <w:ind w:left="720"/>
        <w:jc w:val="both"/>
        <w:rPr>
          <w:sz w:val="20"/>
          <w:szCs w:val="20"/>
          <w:lang w:eastAsia="ar-SA"/>
        </w:rPr>
      </w:pPr>
    </w:p>
    <w:p w:rsidR="00E05B92" w:rsidRDefault="00E05B92" w:rsidP="0080364E">
      <w:pPr>
        <w:suppressAutoHyphens/>
        <w:spacing w:line="276" w:lineRule="auto"/>
        <w:ind w:left="720"/>
        <w:jc w:val="both"/>
        <w:rPr>
          <w:sz w:val="20"/>
          <w:szCs w:val="20"/>
          <w:lang w:eastAsia="ar-SA"/>
        </w:rPr>
      </w:pPr>
    </w:p>
    <w:p w:rsidR="0080364E" w:rsidRDefault="0080364E" w:rsidP="0080364E">
      <w:pPr>
        <w:suppressAutoHyphens/>
        <w:spacing w:line="276" w:lineRule="auto"/>
        <w:ind w:left="720"/>
        <w:jc w:val="both"/>
        <w:rPr>
          <w:sz w:val="20"/>
          <w:szCs w:val="20"/>
          <w:lang w:eastAsia="ar-SA"/>
        </w:rPr>
      </w:pPr>
    </w:p>
    <w:p w:rsidR="0080364E" w:rsidRDefault="0080364E" w:rsidP="0080364E">
      <w:pPr>
        <w:suppressAutoHyphens/>
        <w:spacing w:line="276" w:lineRule="auto"/>
        <w:ind w:left="720"/>
        <w:jc w:val="both"/>
        <w:rPr>
          <w:sz w:val="20"/>
          <w:szCs w:val="20"/>
          <w:lang w:eastAsia="ar-SA"/>
        </w:rPr>
      </w:pPr>
    </w:p>
    <w:p w:rsidR="0080364E" w:rsidRDefault="0080364E" w:rsidP="0080364E">
      <w:pPr>
        <w:suppressAutoHyphens/>
        <w:spacing w:line="276" w:lineRule="auto"/>
        <w:ind w:firstLine="708"/>
        <w:jc w:val="both"/>
        <w:rPr>
          <w:i/>
          <w:sz w:val="20"/>
          <w:szCs w:val="20"/>
          <w:lang w:eastAsia="ar-SA"/>
        </w:rPr>
      </w:pPr>
      <w:r>
        <w:rPr>
          <w:i/>
          <w:sz w:val="20"/>
          <w:szCs w:val="20"/>
          <w:lang w:eastAsia="ar-SA"/>
        </w:rPr>
        <w:t xml:space="preserve">Il giorno della procedura, prima della firma del consenso, ho avuto un ulteriore colloquio informativo con il medico endoscopista dott./dott.ssa ____________________________________ per dirimere dubbi e/o avere chiarimenti in merito alla procedura. </w:t>
      </w:r>
    </w:p>
    <w:p w:rsidR="0080364E" w:rsidRDefault="0080364E" w:rsidP="0080364E">
      <w:pPr>
        <w:suppressAutoHyphens/>
        <w:spacing w:line="276" w:lineRule="auto"/>
        <w:ind w:firstLine="708"/>
        <w:jc w:val="both"/>
        <w:rPr>
          <w:i/>
          <w:sz w:val="20"/>
          <w:szCs w:val="20"/>
          <w:lang w:eastAsia="ar-SA"/>
        </w:rPr>
      </w:pPr>
      <w:r>
        <w:rPr>
          <w:i/>
          <w:sz w:val="20"/>
          <w:szCs w:val="20"/>
          <w:lang w:eastAsia="ar-SA"/>
        </w:rPr>
        <w:t>Nel corso del colloquio inoltre ho fornito notizie anamnestiche riguardo il mio stato clinico, attuale e pregresso, da cui sono emerse le seguenti problematiche soggettive che possono aumentare il rischio di complicanze connesse alla procedura:</w:t>
      </w:r>
    </w:p>
    <w:p w:rsidR="0080364E" w:rsidRDefault="0080364E" w:rsidP="0080364E">
      <w:pPr>
        <w:suppressAutoHyphens/>
        <w:spacing w:line="276" w:lineRule="auto"/>
        <w:ind w:firstLine="708"/>
        <w:jc w:val="both"/>
        <w:rPr>
          <w:i/>
          <w:sz w:val="20"/>
          <w:szCs w:val="20"/>
          <w:lang w:eastAsia="ar-SA"/>
        </w:rPr>
      </w:pPr>
      <w:r>
        <w:rPr>
          <w:i/>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364E" w:rsidRDefault="0080364E" w:rsidP="0080364E">
      <w:pPr>
        <w:suppressAutoHyphens/>
        <w:spacing w:line="276" w:lineRule="auto"/>
        <w:ind w:left="720"/>
        <w:jc w:val="both"/>
        <w:rPr>
          <w:sz w:val="22"/>
          <w:lang w:eastAsia="ar-SA"/>
        </w:rPr>
      </w:pPr>
    </w:p>
    <w:p w:rsidR="0080364E" w:rsidRDefault="0080364E" w:rsidP="0080364E">
      <w:pPr>
        <w:suppressAutoHyphens/>
        <w:spacing w:line="276" w:lineRule="auto"/>
        <w:ind w:left="720"/>
        <w:jc w:val="both"/>
        <w:rPr>
          <w:sz w:val="22"/>
          <w:lang w:eastAsia="ar-SA"/>
        </w:rPr>
      </w:pPr>
    </w:p>
    <w:p w:rsidR="0080364E" w:rsidRDefault="0080364E" w:rsidP="0080364E">
      <w:pPr>
        <w:suppressAutoHyphens/>
        <w:spacing w:line="276" w:lineRule="auto"/>
        <w:ind w:left="720"/>
        <w:jc w:val="both"/>
        <w:rPr>
          <w:b/>
          <w:i/>
          <w:sz w:val="22"/>
          <w:lang w:eastAsia="ar-SA"/>
        </w:rPr>
      </w:pPr>
      <w:r>
        <w:rPr>
          <w:b/>
          <w:i/>
          <w:sz w:val="22"/>
          <w:lang w:eastAsia="ar-SA"/>
        </w:rPr>
        <w:t xml:space="preserve">______________________                                                      </w:t>
      </w:r>
      <w:r w:rsidR="00F6318F">
        <w:rPr>
          <w:b/>
          <w:i/>
          <w:sz w:val="22"/>
          <w:lang w:eastAsia="ar-SA"/>
        </w:rPr>
        <w:t xml:space="preserve">                             </w:t>
      </w:r>
      <w:r>
        <w:rPr>
          <w:sz w:val="22"/>
          <w:lang w:eastAsia="ar-SA"/>
        </w:rPr>
        <w:t xml:space="preserve">______________________                                                    </w:t>
      </w:r>
    </w:p>
    <w:p w:rsidR="0080364E" w:rsidRDefault="0080364E" w:rsidP="0080364E">
      <w:pPr>
        <w:rPr>
          <w:b/>
          <w:i/>
          <w:sz w:val="14"/>
          <w:szCs w:val="16"/>
          <w:lang w:eastAsia="ar-SA"/>
        </w:rPr>
      </w:pPr>
      <w:r>
        <w:rPr>
          <w:b/>
          <w:i/>
          <w:sz w:val="14"/>
          <w:szCs w:val="16"/>
          <w:lang w:eastAsia="ar-SA"/>
        </w:rPr>
        <w:t xml:space="preserve">                </w:t>
      </w:r>
      <w:r>
        <w:rPr>
          <w:b/>
          <w:i/>
          <w:sz w:val="14"/>
          <w:szCs w:val="16"/>
          <w:lang w:eastAsia="ar-SA"/>
        </w:rPr>
        <w:tab/>
        <w:t xml:space="preserve"> (firma del medico endoscopista)                                                                                                                                                      (firma della persona informata)</w:t>
      </w:r>
    </w:p>
    <w:p w:rsidR="00BA6DBE" w:rsidRPr="00FB2A41" w:rsidRDefault="00BA6DBE">
      <w:pPr>
        <w:rPr>
          <w:sz w:val="18"/>
          <w:szCs w:val="20"/>
        </w:rPr>
      </w:pPr>
    </w:p>
    <w:p w:rsidR="00BA6DBE" w:rsidRPr="00FB2A41" w:rsidRDefault="00BA6DBE">
      <w:pPr>
        <w:rPr>
          <w:sz w:val="18"/>
          <w:szCs w:val="20"/>
        </w:rPr>
      </w:pPr>
    </w:p>
    <w:p w:rsidR="00BA6DBE" w:rsidRPr="00FB2A41" w:rsidRDefault="00BA6DBE">
      <w:pPr>
        <w:rPr>
          <w:sz w:val="18"/>
          <w:szCs w:val="20"/>
        </w:rPr>
      </w:pPr>
    </w:p>
    <w:sectPr w:rsidR="00BA6DBE" w:rsidRPr="00FB2A41" w:rsidSect="00555C7B">
      <w:headerReference w:type="even" r:id="rId9"/>
      <w:headerReference w:type="default" r:id="rId10"/>
      <w:footerReference w:type="even" r:id="rId11"/>
      <w:footerReference w:type="default" r:id="rId12"/>
      <w:headerReference w:type="first" r:id="rId13"/>
      <w:footerReference w:type="first" r:id="rId14"/>
      <w:pgSz w:w="11906" w:h="16838"/>
      <w:pgMar w:top="180" w:right="567" w:bottom="540" w:left="567" w:header="189"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EAA" w:rsidRDefault="00F51EAA">
      <w:r>
        <w:separator/>
      </w:r>
    </w:p>
  </w:endnote>
  <w:endnote w:type="continuationSeparator" w:id="0">
    <w:p w:rsidR="00F51EAA" w:rsidRDefault="00F5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8" w:rsidRDefault="00555C7B">
    <w:pPr>
      <w:pStyle w:val="Pidipagina"/>
      <w:framePr w:wrap="around" w:vAnchor="text" w:hAnchor="margin" w:xAlign="center" w:y="1"/>
      <w:rPr>
        <w:rStyle w:val="Numeropagina"/>
      </w:rPr>
    </w:pPr>
    <w:r>
      <w:rPr>
        <w:rStyle w:val="Numeropagina"/>
      </w:rPr>
      <w:fldChar w:fldCharType="begin"/>
    </w:r>
    <w:r w:rsidR="00DE72C2">
      <w:rPr>
        <w:rStyle w:val="Numeropagina"/>
      </w:rPr>
      <w:instrText xml:space="preserve">PAGE  </w:instrText>
    </w:r>
    <w:r>
      <w:rPr>
        <w:rStyle w:val="Numeropagina"/>
      </w:rPr>
      <w:fldChar w:fldCharType="end"/>
    </w:r>
  </w:p>
  <w:p w:rsidR="00401538" w:rsidRDefault="00F51E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8" w:rsidRDefault="00555C7B">
    <w:pPr>
      <w:pStyle w:val="Pidipagina"/>
      <w:framePr w:wrap="around" w:vAnchor="text" w:hAnchor="margin" w:xAlign="center" w:y="1"/>
      <w:rPr>
        <w:rStyle w:val="Numeropagina"/>
      </w:rPr>
    </w:pPr>
    <w:r>
      <w:rPr>
        <w:rStyle w:val="Numeropagina"/>
      </w:rPr>
      <w:fldChar w:fldCharType="begin"/>
    </w:r>
    <w:r w:rsidR="00DE72C2">
      <w:rPr>
        <w:rStyle w:val="Numeropagina"/>
      </w:rPr>
      <w:instrText xml:space="preserve">PAGE  </w:instrText>
    </w:r>
    <w:r>
      <w:rPr>
        <w:rStyle w:val="Numeropagina"/>
      </w:rPr>
      <w:fldChar w:fldCharType="separate"/>
    </w:r>
    <w:r w:rsidR="00DF6030">
      <w:rPr>
        <w:rStyle w:val="Numeropagina"/>
        <w:noProof/>
      </w:rPr>
      <w:t>3</w:t>
    </w:r>
    <w:r>
      <w:rPr>
        <w:rStyle w:val="Numeropagina"/>
      </w:rPr>
      <w:fldChar w:fldCharType="end"/>
    </w:r>
  </w:p>
  <w:p w:rsidR="00401538" w:rsidRDefault="00906FB7">
    <w:pPr>
      <w:pStyle w:val="Pidipagina"/>
      <w:ind w:right="360"/>
      <w:jc w:val="right"/>
      <w:rPr>
        <w:sz w:val="16"/>
        <w:szCs w:val="16"/>
      </w:rPr>
    </w:pPr>
    <w:r>
      <w:rPr>
        <w:sz w:val="16"/>
        <w:szCs w:val="16"/>
      </w:rPr>
      <w:t>.</w:t>
    </w:r>
    <w:r w:rsidR="00555C7B">
      <w:rPr>
        <w:sz w:val="16"/>
        <w:szCs w:val="16"/>
      </w:rPr>
      <w:fldChar w:fldCharType="begin"/>
    </w:r>
    <w:r w:rsidR="00DE72C2">
      <w:rPr>
        <w:sz w:val="16"/>
        <w:szCs w:val="16"/>
      </w:rPr>
      <w:instrText xml:space="preserve"> FILENAME </w:instrText>
    </w:r>
    <w:r w:rsidR="00555C7B">
      <w:rPr>
        <w:sz w:val="16"/>
        <w:szCs w:val="16"/>
      </w:rPr>
      <w:fldChar w:fldCharType="separate"/>
    </w:r>
    <w:r w:rsidR="00664745">
      <w:rPr>
        <w:noProof/>
        <w:sz w:val="16"/>
        <w:szCs w:val="16"/>
      </w:rPr>
      <w:t>Informativa PEG def</w:t>
    </w:r>
    <w:r w:rsidR="00555C7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B7" w:rsidRDefault="00906FB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EAA" w:rsidRDefault="00F51EAA">
      <w:r>
        <w:separator/>
      </w:r>
    </w:p>
  </w:footnote>
  <w:footnote w:type="continuationSeparator" w:id="0">
    <w:p w:rsidR="00F51EAA" w:rsidRDefault="00F5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B7" w:rsidRDefault="00906FB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38" w:rsidRDefault="00F51EAA">
    <w:pPr>
      <w:jc w:val="right"/>
      <w:rPr>
        <w:sz w:val="20"/>
        <w:szCs w:val="20"/>
      </w:rPr>
    </w:pPr>
  </w:p>
  <w:p w:rsidR="00906FB7" w:rsidRDefault="00906FB7">
    <w:pPr>
      <w:jc w:val="right"/>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B7" w:rsidRDefault="00906FB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E0E"/>
    <w:multiLevelType w:val="hybridMultilevel"/>
    <w:tmpl w:val="BB5088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BD03380"/>
    <w:multiLevelType w:val="hybridMultilevel"/>
    <w:tmpl w:val="4ED0DC90"/>
    <w:lvl w:ilvl="0" w:tplc="5330E584">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E264ECF"/>
    <w:multiLevelType w:val="hybridMultilevel"/>
    <w:tmpl w:val="1F8223B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2AE84FC3"/>
    <w:multiLevelType w:val="hybridMultilevel"/>
    <w:tmpl w:val="4FC493EA"/>
    <w:lvl w:ilvl="0" w:tplc="3AA09BC8">
      <w:start w:val="1"/>
      <w:numFmt w:val="decimal"/>
      <w:lvlText w:val="%1."/>
      <w:lvlJc w:val="left"/>
      <w:pPr>
        <w:ind w:left="1759" w:hanging="1050"/>
      </w:pPr>
      <w:rPr>
        <w:rFonts w:hint="default"/>
        <w:sz w:val="3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30457D3C"/>
    <w:multiLevelType w:val="hybridMultilevel"/>
    <w:tmpl w:val="532AF26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EE335C"/>
    <w:multiLevelType w:val="hybridMultilevel"/>
    <w:tmpl w:val="EA5EC7DC"/>
    <w:lvl w:ilvl="0" w:tplc="3AA09BC8">
      <w:start w:val="1"/>
      <w:numFmt w:val="decimal"/>
      <w:lvlText w:val="%1."/>
      <w:lvlJc w:val="left"/>
      <w:pPr>
        <w:ind w:left="1759" w:hanging="1050"/>
      </w:pPr>
      <w:rPr>
        <w:rFonts w:hint="default"/>
        <w:sz w:val="3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nsid w:val="3FF27B3F"/>
    <w:multiLevelType w:val="hybridMultilevel"/>
    <w:tmpl w:val="CB900178"/>
    <w:lvl w:ilvl="0" w:tplc="D786CFA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2F1E6E"/>
    <w:multiLevelType w:val="hybridMultilevel"/>
    <w:tmpl w:val="16AAD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5F44CC"/>
    <w:multiLevelType w:val="hybridMultilevel"/>
    <w:tmpl w:val="A4C47C76"/>
    <w:lvl w:ilvl="0" w:tplc="5330E5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7442EE3"/>
    <w:multiLevelType w:val="hybridMultilevel"/>
    <w:tmpl w:val="E7A661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5"/>
  </w:num>
  <w:num w:numId="6">
    <w:abstractNumId w:val="3"/>
  </w:num>
  <w:num w:numId="7">
    <w:abstractNumId w:val="7"/>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01"/>
    <w:rsid w:val="00026A0B"/>
    <w:rsid w:val="000B2070"/>
    <w:rsid w:val="000B31B7"/>
    <w:rsid w:val="0010024C"/>
    <w:rsid w:val="00144C89"/>
    <w:rsid w:val="002039F3"/>
    <w:rsid w:val="00222836"/>
    <w:rsid w:val="00293DC1"/>
    <w:rsid w:val="00294F93"/>
    <w:rsid w:val="0033263C"/>
    <w:rsid w:val="00334695"/>
    <w:rsid w:val="0037731E"/>
    <w:rsid w:val="003F7833"/>
    <w:rsid w:val="00437F19"/>
    <w:rsid w:val="00446F01"/>
    <w:rsid w:val="00471C36"/>
    <w:rsid w:val="00482723"/>
    <w:rsid w:val="004D3848"/>
    <w:rsid w:val="00555C7B"/>
    <w:rsid w:val="0058482A"/>
    <w:rsid w:val="005B5506"/>
    <w:rsid w:val="005B7711"/>
    <w:rsid w:val="00641253"/>
    <w:rsid w:val="0064749E"/>
    <w:rsid w:val="00664745"/>
    <w:rsid w:val="0067177B"/>
    <w:rsid w:val="006747F6"/>
    <w:rsid w:val="00696021"/>
    <w:rsid w:val="006B4178"/>
    <w:rsid w:val="006B7F8C"/>
    <w:rsid w:val="006F24DC"/>
    <w:rsid w:val="007B3037"/>
    <w:rsid w:val="007C171F"/>
    <w:rsid w:val="007C5F0A"/>
    <w:rsid w:val="0080364E"/>
    <w:rsid w:val="00820BD7"/>
    <w:rsid w:val="008421F4"/>
    <w:rsid w:val="008B2CA7"/>
    <w:rsid w:val="008D583B"/>
    <w:rsid w:val="008D5D09"/>
    <w:rsid w:val="008D674E"/>
    <w:rsid w:val="008E08F7"/>
    <w:rsid w:val="008E4B8B"/>
    <w:rsid w:val="00906FB7"/>
    <w:rsid w:val="00943EF2"/>
    <w:rsid w:val="00970E29"/>
    <w:rsid w:val="009A4258"/>
    <w:rsid w:val="00A31FBE"/>
    <w:rsid w:val="00A340DD"/>
    <w:rsid w:val="00A3776D"/>
    <w:rsid w:val="00A66582"/>
    <w:rsid w:val="00B206B7"/>
    <w:rsid w:val="00B5772C"/>
    <w:rsid w:val="00BA6DBE"/>
    <w:rsid w:val="00BD7559"/>
    <w:rsid w:val="00C028D6"/>
    <w:rsid w:val="00C05FED"/>
    <w:rsid w:val="00C45268"/>
    <w:rsid w:val="00C551DE"/>
    <w:rsid w:val="00C83A71"/>
    <w:rsid w:val="00C90EEB"/>
    <w:rsid w:val="00CA0CBA"/>
    <w:rsid w:val="00CD44ED"/>
    <w:rsid w:val="00CE255F"/>
    <w:rsid w:val="00CE4022"/>
    <w:rsid w:val="00CF2E50"/>
    <w:rsid w:val="00D14A6E"/>
    <w:rsid w:val="00D2111C"/>
    <w:rsid w:val="00D222C4"/>
    <w:rsid w:val="00D32C5E"/>
    <w:rsid w:val="00D67791"/>
    <w:rsid w:val="00D770D6"/>
    <w:rsid w:val="00DE72C2"/>
    <w:rsid w:val="00DF6030"/>
    <w:rsid w:val="00E05B92"/>
    <w:rsid w:val="00E93BA3"/>
    <w:rsid w:val="00EB00BE"/>
    <w:rsid w:val="00EB3808"/>
    <w:rsid w:val="00EE477E"/>
    <w:rsid w:val="00F51EAA"/>
    <w:rsid w:val="00F6318F"/>
    <w:rsid w:val="00F7208C"/>
    <w:rsid w:val="00FB2A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F0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46F01"/>
    <w:pPr>
      <w:keepNext/>
      <w:outlineLvl w:val="1"/>
    </w:pPr>
    <w:rPr>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46F01"/>
    <w:rPr>
      <w:rFonts w:ascii="Times New Roman" w:eastAsia="Times New Roman" w:hAnsi="Times New Roman" w:cs="Times New Roman"/>
      <w:sz w:val="20"/>
      <w:szCs w:val="24"/>
      <w:u w:val="single"/>
      <w:lang w:eastAsia="it-IT"/>
    </w:rPr>
  </w:style>
  <w:style w:type="paragraph" w:styleId="Sottotitolo">
    <w:name w:val="Subtitle"/>
    <w:basedOn w:val="Normale"/>
    <w:link w:val="SottotitoloCarattere"/>
    <w:qFormat/>
    <w:rsid w:val="00446F01"/>
    <w:pPr>
      <w:jc w:val="center"/>
    </w:pPr>
    <w:rPr>
      <w:sz w:val="32"/>
      <w:szCs w:val="20"/>
    </w:rPr>
  </w:style>
  <w:style w:type="character" w:customStyle="1" w:styleId="SottotitoloCarattere">
    <w:name w:val="Sottotitolo Carattere"/>
    <w:basedOn w:val="Carpredefinitoparagrafo"/>
    <w:link w:val="Sottotitolo"/>
    <w:rsid w:val="00446F01"/>
    <w:rPr>
      <w:rFonts w:ascii="Times New Roman" w:eastAsia="Times New Roman" w:hAnsi="Times New Roman" w:cs="Times New Roman"/>
      <w:sz w:val="32"/>
      <w:szCs w:val="20"/>
      <w:lang w:eastAsia="it-IT"/>
    </w:rPr>
  </w:style>
  <w:style w:type="paragraph" w:styleId="Corpotesto">
    <w:name w:val="Body Text"/>
    <w:basedOn w:val="Normale"/>
    <w:link w:val="CorpotestoCarattere"/>
    <w:rsid w:val="00446F01"/>
    <w:rPr>
      <w:sz w:val="20"/>
    </w:rPr>
  </w:style>
  <w:style w:type="character" w:customStyle="1" w:styleId="CorpotestoCarattere">
    <w:name w:val="Corpo testo Carattere"/>
    <w:basedOn w:val="Carpredefinitoparagrafo"/>
    <w:link w:val="Corpotesto"/>
    <w:rsid w:val="00446F01"/>
    <w:rPr>
      <w:rFonts w:ascii="Times New Roman" w:eastAsia="Times New Roman" w:hAnsi="Times New Roman" w:cs="Times New Roman"/>
      <w:sz w:val="20"/>
      <w:szCs w:val="24"/>
      <w:lang w:eastAsia="it-IT"/>
    </w:rPr>
  </w:style>
  <w:style w:type="paragraph" w:styleId="Pidipagina">
    <w:name w:val="footer"/>
    <w:basedOn w:val="Normale"/>
    <w:link w:val="PidipaginaCarattere"/>
    <w:rsid w:val="00446F01"/>
    <w:pPr>
      <w:tabs>
        <w:tab w:val="center" w:pos="4819"/>
        <w:tab w:val="right" w:pos="9638"/>
      </w:tabs>
    </w:pPr>
  </w:style>
  <w:style w:type="character" w:customStyle="1" w:styleId="PidipaginaCarattere">
    <w:name w:val="Piè di pagina Carattere"/>
    <w:basedOn w:val="Carpredefinitoparagrafo"/>
    <w:link w:val="Pidipagina"/>
    <w:rsid w:val="00446F01"/>
    <w:rPr>
      <w:rFonts w:ascii="Times New Roman" w:eastAsia="Times New Roman" w:hAnsi="Times New Roman" w:cs="Times New Roman"/>
      <w:sz w:val="24"/>
      <w:szCs w:val="24"/>
      <w:lang w:eastAsia="it-IT"/>
    </w:rPr>
  </w:style>
  <w:style w:type="character" w:styleId="Numeropagina">
    <w:name w:val="page number"/>
    <w:basedOn w:val="Carpredefinitoparagrafo"/>
    <w:rsid w:val="00446F01"/>
  </w:style>
  <w:style w:type="paragraph" w:styleId="Testofumetto">
    <w:name w:val="Balloon Text"/>
    <w:basedOn w:val="Normale"/>
    <w:link w:val="TestofumettoCarattere"/>
    <w:uiPriority w:val="99"/>
    <w:semiHidden/>
    <w:unhideWhenUsed/>
    <w:rsid w:val="00446F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F01"/>
    <w:rPr>
      <w:rFonts w:ascii="Tahoma" w:eastAsia="Times New Roman" w:hAnsi="Tahoma" w:cs="Tahoma"/>
      <w:sz w:val="16"/>
      <w:szCs w:val="16"/>
      <w:lang w:eastAsia="it-IT"/>
    </w:rPr>
  </w:style>
  <w:style w:type="paragraph" w:styleId="Paragrafoelenco">
    <w:name w:val="List Paragraph"/>
    <w:basedOn w:val="Normale"/>
    <w:uiPriority w:val="34"/>
    <w:qFormat/>
    <w:rsid w:val="00A340DD"/>
    <w:pPr>
      <w:ind w:left="720"/>
      <w:contextualSpacing/>
    </w:pPr>
  </w:style>
  <w:style w:type="paragraph" w:styleId="Intestazione">
    <w:name w:val="header"/>
    <w:basedOn w:val="Normale"/>
    <w:link w:val="IntestazioneCarattere"/>
    <w:uiPriority w:val="99"/>
    <w:unhideWhenUsed/>
    <w:rsid w:val="00906FB7"/>
    <w:pPr>
      <w:tabs>
        <w:tab w:val="center" w:pos="4819"/>
        <w:tab w:val="right" w:pos="9638"/>
      </w:tabs>
    </w:pPr>
  </w:style>
  <w:style w:type="character" w:customStyle="1" w:styleId="IntestazioneCarattere">
    <w:name w:val="Intestazione Carattere"/>
    <w:basedOn w:val="Carpredefinitoparagrafo"/>
    <w:link w:val="Intestazione"/>
    <w:uiPriority w:val="99"/>
    <w:rsid w:val="00906FB7"/>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F0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446F01"/>
    <w:pPr>
      <w:keepNext/>
      <w:outlineLvl w:val="1"/>
    </w:pPr>
    <w:rPr>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46F01"/>
    <w:rPr>
      <w:rFonts w:ascii="Times New Roman" w:eastAsia="Times New Roman" w:hAnsi="Times New Roman" w:cs="Times New Roman"/>
      <w:sz w:val="20"/>
      <w:szCs w:val="24"/>
      <w:u w:val="single"/>
      <w:lang w:eastAsia="it-IT"/>
    </w:rPr>
  </w:style>
  <w:style w:type="paragraph" w:styleId="Sottotitolo">
    <w:name w:val="Subtitle"/>
    <w:basedOn w:val="Normale"/>
    <w:link w:val="SottotitoloCarattere"/>
    <w:qFormat/>
    <w:rsid w:val="00446F01"/>
    <w:pPr>
      <w:jc w:val="center"/>
    </w:pPr>
    <w:rPr>
      <w:sz w:val="32"/>
      <w:szCs w:val="20"/>
    </w:rPr>
  </w:style>
  <w:style w:type="character" w:customStyle="1" w:styleId="SottotitoloCarattere">
    <w:name w:val="Sottotitolo Carattere"/>
    <w:basedOn w:val="Carpredefinitoparagrafo"/>
    <w:link w:val="Sottotitolo"/>
    <w:rsid w:val="00446F01"/>
    <w:rPr>
      <w:rFonts w:ascii="Times New Roman" w:eastAsia="Times New Roman" w:hAnsi="Times New Roman" w:cs="Times New Roman"/>
      <w:sz w:val="32"/>
      <w:szCs w:val="20"/>
      <w:lang w:eastAsia="it-IT"/>
    </w:rPr>
  </w:style>
  <w:style w:type="paragraph" w:styleId="Corpotesto">
    <w:name w:val="Body Text"/>
    <w:basedOn w:val="Normale"/>
    <w:link w:val="CorpotestoCarattere"/>
    <w:rsid w:val="00446F01"/>
    <w:rPr>
      <w:sz w:val="20"/>
    </w:rPr>
  </w:style>
  <w:style w:type="character" w:customStyle="1" w:styleId="CorpotestoCarattere">
    <w:name w:val="Corpo testo Carattere"/>
    <w:basedOn w:val="Carpredefinitoparagrafo"/>
    <w:link w:val="Corpotesto"/>
    <w:rsid w:val="00446F01"/>
    <w:rPr>
      <w:rFonts w:ascii="Times New Roman" w:eastAsia="Times New Roman" w:hAnsi="Times New Roman" w:cs="Times New Roman"/>
      <w:sz w:val="20"/>
      <w:szCs w:val="24"/>
      <w:lang w:eastAsia="it-IT"/>
    </w:rPr>
  </w:style>
  <w:style w:type="paragraph" w:styleId="Pidipagina">
    <w:name w:val="footer"/>
    <w:basedOn w:val="Normale"/>
    <w:link w:val="PidipaginaCarattere"/>
    <w:rsid w:val="00446F01"/>
    <w:pPr>
      <w:tabs>
        <w:tab w:val="center" w:pos="4819"/>
        <w:tab w:val="right" w:pos="9638"/>
      </w:tabs>
    </w:pPr>
  </w:style>
  <w:style w:type="character" w:customStyle="1" w:styleId="PidipaginaCarattere">
    <w:name w:val="Piè di pagina Carattere"/>
    <w:basedOn w:val="Carpredefinitoparagrafo"/>
    <w:link w:val="Pidipagina"/>
    <w:rsid w:val="00446F01"/>
    <w:rPr>
      <w:rFonts w:ascii="Times New Roman" w:eastAsia="Times New Roman" w:hAnsi="Times New Roman" w:cs="Times New Roman"/>
      <w:sz w:val="24"/>
      <w:szCs w:val="24"/>
      <w:lang w:eastAsia="it-IT"/>
    </w:rPr>
  </w:style>
  <w:style w:type="character" w:styleId="Numeropagina">
    <w:name w:val="page number"/>
    <w:basedOn w:val="Carpredefinitoparagrafo"/>
    <w:rsid w:val="00446F01"/>
  </w:style>
  <w:style w:type="paragraph" w:styleId="Testofumetto">
    <w:name w:val="Balloon Text"/>
    <w:basedOn w:val="Normale"/>
    <w:link w:val="TestofumettoCarattere"/>
    <w:uiPriority w:val="99"/>
    <w:semiHidden/>
    <w:unhideWhenUsed/>
    <w:rsid w:val="00446F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F01"/>
    <w:rPr>
      <w:rFonts w:ascii="Tahoma" w:eastAsia="Times New Roman" w:hAnsi="Tahoma" w:cs="Tahoma"/>
      <w:sz w:val="16"/>
      <w:szCs w:val="16"/>
      <w:lang w:eastAsia="it-IT"/>
    </w:rPr>
  </w:style>
  <w:style w:type="paragraph" w:styleId="Paragrafoelenco">
    <w:name w:val="List Paragraph"/>
    <w:basedOn w:val="Normale"/>
    <w:uiPriority w:val="34"/>
    <w:qFormat/>
    <w:rsid w:val="00A340DD"/>
    <w:pPr>
      <w:ind w:left="720"/>
      <w:contextualSpacing/>
    </w:pPr>
  </w:style>
  <w:style w:type="paragraph" w:styleId="Intestazione">
    <w:name w:val="header"/>
    <w:basedOn w:val="Normale"/>
    <w:link w:val="IntestazioneCarattere"/>
    <w:uiPriority w:val="99"/>
    <w:unhideWhenUsed/>
    <w:rsid w:val="00906FB7"/>
    <w:pPr>
      <w:tabs>
        <w:tab w:val="center" w:pos="4819"/>
        <w:tab w:val="right" w:pos="9638"/>
      </w:tabs>
    </w:pPr>
  </w:style>
  <w:style w:type="character" w:customStyle="1" w:styleId="IntestazioneCarattere">
    <w:name w:val="Intestazione Carattere"/>
    <w:basedOn w:val="Carpredefinitoparagrafo"/>
    <w:link w:val="Intestazione"/>
    <w:uiPriority w:val="99"/>
    <w:rsid w:val="00906FB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21141">
      <w:bodyDiv w:val="1"/>
      <w:marLeft w:val="0"/>
      <w:marRight w:val="0"/>
      <w:marTop w:val="0"/>
      <w:marBottom w:val="0"/>
      <w:divBdr>
        <w:top w:val="none" w:sz="0" w:space="0" w:color="auto"/>
        <w:left w:val="none" w:sz="0" w:space="0" w:color="auto"/>
        <w:bottom w:val="none" w:sz="0" w:space="0" w:color="auto"/>
        <w:right w:val="none" w:sz="0" w:space="0" w:color="auto"/>
      </w:divBdr>
    </w:div>
    <w:div w:id="13982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2193</Words>
  <Characters>12504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av1 hurendos07</dc:creator>
  <cp:lastModifiedBy>Maxemiliano Giardini</cp:lastModifiedBy>
  <cp:revision>2</cp:revision>
  <cp:lastPrinted>2022-02-11T18:24:00Z</cp:lastPrinted>
  <dcterms:created xsi:type="dcterms:W3CDTF">2022-11-17T18:08:00Z</dcterms:created>
  <dcterms:modified xsi:type="dcterms:W3CDTF">2022-11-17T18:08:00Z</dcterms:modified>
</cp:coreProperties>
</file>